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82" w:rsidRPr="005F071D" w:rsidRDefault="00777D82" w:rsidP="005E7ED9">
      <w:pPr>
        <w:pStyle w:val="Heading1"/>
      </w:pPr>
      <w:bookmarkStart w:id="0" w:name="_GoBack"/>
      <w:bookmarkEnd w:id="0"/>
      <w:r w:rsidRPr="005E7ED9">
        <w:rPr>
          <w:rFonts w:eastAsia="Calibri"/>
        </w:rPr>
        <w:t xml:space="preserve">Legal checklist for </w:t>
      </w:r>
      <w:r w:rsidR="003D0996" w:rsidRPr="005E7ED9">
        <w:rPr>
          <w:rFonts w:eastAsia="Calibri"/>
        </w:rPr>
        <w:t xml:space="preserve">boards of </w:t>
      </w:r>
      <w:r w:rsidRPr="005E7ED9">
        <w:rPr>
          <w:rFonts w:eastAsia="Calibri"/>
        </w:rPr>
        <w:t xml:space="preserve">charities and other voluntary organisations </w:t>
      </w:r>
    </w:p>
    <w:p w:rsidR="00777D82" w:rsidRDefault="00777D82" w:rsidP="00A038D2">
      <w:pPr>
        <w:spacing w:after="209"/>
        <w:ind w:left="-5" w:right="-9"/>
        <w:jc w:val="both"/>
      </w:pPr>
      <w:r>
        <w:t>This document contains a list of legal aspects that need to be covered by most voluntary organisations</w:t>
      </w:r>
      <w:r w:rsidR="00D673DD">
        <w:t xml:space="preserve">.  </w:t>
      </w:r>
      <w:r>
        <w:t xml:space="preserve">The </w:t>
      </w:r>
      <w:r w:rsidR="00D673DD">
        <w:t>middle</w:t>
      </w:r>
      <w:r>
        <w:t xml:space="preserve"> column then contains some suggestions on how the aspect could be monitored by your </w:t>
      </w:r>
      <w:r w:rsidR="00AF2B25">
        <w:t>board</w:t>
      </w:r>
      <w:r w:rsidR="00D673DD">
        <w:t>.  The right hand column suggests available resources.</w:t>
      </w:r>
    </w:p>
    <w:p w:rsidR="00777D82" w:rsidRDefault="00777D82" w:rsidP="00A038D2">
      <w:pPr>
        <w:ind w:left="-5" w:right="-9"/>
        <w:jc w:val="both"/>
      </w:pPr>
      <w:r>
        <w:t>Please note that the list is designed to be adjusted to suit your organisation</w:t>
      </w:r>
      <w:r w:rsidR="00AF2B25">
        <w:t xml:space="preserve"> and is not an exhaustive list of legal obligations or good governance expectations</w:t>
      </w:r>
      <w:r w:rsidR="00D673DD">
        <w:t xml:space="preserve">. </w:t>
      </w:r>
      <w:r>
        <w:t>Legal duties may alter as new laws are passed therefore the organisation may need to add to or adjust the list in the future</w:t>
      </w:r>
      <w:r w:rsidR="00D673DD">
        <w:t>.</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383"/>
        <w:gridCol w:w="3590"/>
        <w:gridCol w:w="5336"/>
        <w:gridCol w:w="6247"/>
      </w:tblGrid>
      <w:tr w:rsidR="001476C8" w:rsidTr="005E7ED9">
        <w:tc>
          <w:tcPr>
            <w:tcW w:w="123" w:type="pct"/>
            <w:tcBorders>
              <w:top w:val="single" w:sz="4" w:space="0" w:color="000000"/>
              <w:left w:val="single" w:sz="4" w:space="0" w:color="000000"/>
              <w:bottom w:val="single" w:sz="4" w:space="0" w:color="000000"/>
              <w:right w:val="single" w:sz="4" w:space="0" w:color="000000"/>
            </w:tcBorders>
            <w:shd w:val="clear" w:color="auto" w:fill="522A6B"/>
          </w:tcPr>
          <w:p w:rsidR="001476C8" w:rsidRDefault="001476C8" w:rsidP="000024FD">
            <w:pPr>
              <w:spacing w:before="60" w:after="60"/>
            </w:pPr>
          </w:p>
        </w:tc>
        <w:tc>
          <w:tcPr>
            <w:tcW w:w="1154" w:type="pct"/>
            <w:tcBorders>
              <w:top w:val="single" w:sz="4" w:space="0" w:color="000000"/>
              <w:left w:val="single" w:sz="4" w:space="0" w:color="000000"/>
              <w:bottom w:val="single" w:sz="4" w:space="0" w:color="000000"/>
              <w:right w:val="single" w:sz="4" w:space="0" w:color="000000"/>
            </w:tcBorders>
            <w:shd w:val="clear" w:color="auto" w:fill="522A6B"/>
          </w:tcPr>
          <w:p w:rsidR="001476C8" w:rsidRPr="005E7ED9" w:rsidRDefault="00D47C24" w:rsidP="005E7ED9">
            <w:pPr>
              <w:pStyle w:val="Heading2"/>
              <w:outlineLvl w:val="1"/>
              <w:rPr>
                <w:rFonts w:asciiTheme="majorHAnsi" w:hAnsiTheme="majorHAnsi"/>
                <w:sz w:val="28"/>
                <w:szCs w:val="28"/>
              </w:rPr>
            </w:pPr>
            <w:r w:rsidRPr="005E7ED9">
              <w:rPr>
                <w:rFonts w:eastAsia="Arial"/>
                <w:color w:val="FFFFFF" w:themeColor="background1"/>
              </w:rPr>
              <w:t>Aspect</w:t>
            </w:r>
          </w:p>
        </w:tc>
        <w:tc>
          <w:tcPr>
            <w:tcW w:w="1715" w:type="pct"/>
            <w:tcBorders>
              <w:top w:val="single" w:sz="4" w:space="0" w:color="000000"/>
              <w:left w:val="single" w:sz="4" w:space="0" w:color="000000"/>
              <w:bottom w:val="single" w:sz="4" w:space="0" w:color="000000"/>
              <w:right w:val="single" w:sz="4" w:space="0" w:color="000000"/>
            </w:tcBorders>
            <w:shd w:val="clear" w:color="auto" w:fill="522A6B"/>
          </w:tcPr>
          <w:p w:rsidR="001476C8" w:rsidRPr="005F071D" w:rsidRDefault="001476C8" w:rsidP="005E7ED9">
            <w:pPr>
              <w:pStyle w:val="Heading2"/>
              <w:outlineLvl w:val="1"/>
            </w:pPr>
            <w:r w:rsidRPr="005E7ED9">
              <w:rPr>
                <w:rFonts w:eastAsia="Arial"/>
                <w:color w:val="FFFFFF" w:themeColor="background1"/>
              </w:rPr>
              <w:t xml:space="preserve">Possible monitoring process by </w:t>
            </w:r>
            <w:r w:rsidR="00AF2B25" w:rsidRPr="005E7ED9">
              <w:rPr>
                <w:rFonts w:eastAsia="Arial"/>
                <w:color w:val="FFFFFF" w:themeColor="background1"/>
              </w:rPr>
              <w:t>board</w:t>
            </w:r>
            <w:r w:rsidRPr="005E7ED9">
              <w:rPr>
                <w:rFonts w:eastAsia="Arial"/>
                <w:color w:val="FFFFFF" w:themeColor="background1"/>
              </w:rPr>
              <w:t xml:space="preserve"> (insert y</w:t>
            </w:r>
            <w:r w:rsidR="00D673DD" w:rsidRPr="005E7ED9">
              <w:rPr>
                <w:rFonts w:eastAsia="Arial"/>
                <w:color w:val="FFFFFF" w:themeColor="background1"/>
              </w:rPr>
              <w:t>our defined monitoring process)</w:t>
            </w:r>
          </w:p>
        </w:tc>
        <w:tc>
          <w:tcPr>
            <w:tcW w:w="2008" w:type="pct"/>
            <w:tcBorders>
              <w:top w:val="single" w:sz="4" w:space="0" w:color="000000"/>
              <w:left w:val="single" w:sz="4" w:space="0" w:color="000000"/>
              <w:bottom w:val="single" w:sz="4" w:space="0" w:color="000000"/>
              <w:right w:val="single" w:sz="4" w:space="0" w:color="000000"/>
            </w:tcBorders>
            <w:shd w:val="clear" w:color="auto" w:fill="522A6B"/>
          </w:tcPr>
          <w:p w:rsidR="001476C8" w:rsidRDefault="001476C8" w:rsidP="005E7ED9">
            <w:pPr>
              <w:pStyle w:val="Heading2"/>
              <w:outlineLvl w:val="1"/>
              <w:rPr>
                <w:rFonts w:ascii="Arial" w:eastAsia="Arial" w:hAnsi="Arial"/>
              </w:rPr>
            </w:pPr>
            <w:r w:rsidRPr="005E7ED9">
              <w:rPr>
                <w:rFonts w:eastAsia="Arial"/>
                <w:color w:val="FFFFFF" w:themeColor="background1"/>
              </w:rPr>
              <w:t>Further info</w:t>
            </w:r>
            <w:r w:rsidR="00D47C24" w:rsidRPr="005E7ED9">
              <w:rPr>
                <w:rFonts w:eastAsia="Arial"/>
                <w:color w:val="FFFFFF" w:themeColor="background1"/>
              </w:rPr>
              <w:t>rmation</w:t>
            </w:r>
            <w:r w:rsidRPr="005E7ED9">
              <w:rPr>
                <w:rFonts w:eastAsia="Arial"/>
                <w:color w:val="FFFFFF" w:themeColor="background1"/>
              </w:rPr>
              <w:t xml:space="preserve"> </w:t>
            </w:r>
            <w:r w:rsidR="00D47C24" w:rsidRPr="005E7ED9">
              <w:rPr>
                <w:rFonts w:eastAsia="Arial"/>
                <w:color w:val="FFFFFF" w:themeColor="background1"/>
              </w:rPr>
              <w:t>and</w:t>
            </w:r>
            <w:r w:rsidRPr="005E7ED9">
              <w:rPr>
                <w:rFonts w:eastAsia="Arial"/>
                <w:color w:val="FFFFFF" w:themeColor="background1"/>
              </w:rPr>
              <w:t xml:space="preserve"> support </w:t>
            </w:r>
          </w:p>
        </w:tc>
      </w:tr>
      <w:tr w:rsidR="0073433C" w:rsidTr="005E7ED9">
        <w:tc>
          <w:tcPr>
            <w:tcW w:w="123" w:type="pct"/>
            <w:tcBorders>
              <w:top w:val="single" w:sz="4" w:space="0" w:color="000000"/>
              <w:left w:val="single" w:sz="4" w:space="0" w:color="000000"/>
              <w:bottom w:val="single" w:sz="4" w:space="0" w:color="000000"/>
              <w:right w:val="single" w:sz="4" w:space="0" w:color="000000"/>
            </w:tcBorders>
            <w:shd w:val="clear" w:color="auto" w:fill="BCBEB5"/>
          </w:tcPr>
          <w:p w:rsidR="0073433C" w:rsidRDefault="0073433C" w:rsidP="000024FD">
            <w:pPr>
              <w:spacing w:before="60" w:after="60"/>
            </w:pPr>
          </w:p>
        </w:tc>
        <w:tc>
          <w:tcPr>
            <w:tcW w:w="1154" w:type="pct"/>
            <w:tcBorders>
              <w:top w:val="single" w:sz="4" w:space="0" w:color="000000"/>
              <w:left w:val="single" w:sz="4" w:space="0" w:color="000000"/>
              <w:bottom w:val="single" w:sz="4" w:space="0" w:color="000000"/>
              <w:right w:val="single" w:sz="4" w:space="0" w:color="000000"/>
            </w:tcBorders>
            <w:shd w:val="clear" w:color="auto" w:fill="BCBEB5"/>
          </w:tcPr>
          <w:p w:rsidR="0073433C" w:rsidRPr="005E7ED9" w:rsidRDefault="00674BE8" w:rsidP="005E7ED9">
            <w:pPr>
              <w:pStyle w:val="Heading3"/>
              <w:outlineLvl w:val="2"/>
            </w:pPr>
            <w:r w:rsidRPr="005E7ED9">
              <w:t>Board Processes</w:t>
            </w:r>
          </w:p>
        </w:tc>
        <w:tc>
          <w:tcPr>
            <w:tcW w:w="1715" w:type="pct"/>
            <w:tcBorders>
              <w:top w:val="single" w:sz="4" w:space="0" w:color="000000"/>
              <w:left w:val="single" w:sz="4" w:space="0" w:color="000000"/>
              <w:bottom w:val="single" w:sz="4" w:space="0" w:color="000000"/>
              <w:right w:val="single" w:sz="4" w:space="0" w:color="000000"/>
            </w:tcBorders>
            <w:shd w:val="clear" w:color="auto" w:fill="BCBEB5"/>
          </w:tcPr>
          <w:p w:rsidR="0073433C" w:rsidRDefault="0073433C" w:rsidP="000024FD">
            <w:pPr>
              <w:spacing w:before="60" w:after="60"/>
            </w:pPr>
          </w:p>
        </w:tc>
        <w:tc>
          <w:tcPr>
            <w:tcW w:w="2008" w:type="pct"/>
            <w:tcBorders>
              <w:top w:val="single" w:sz="4" w:space="0" w:color="000000"/>
              <w:left w:val="single" w:sz="4" w:space="0" w:color="000000"/>
              <w:bottom w:val="single" w:sz="4" w:space="0" w:color="000000"/>
              <w:right w:val="single" w:sz="4" w:space="0" w:color="000000"/>
            </w:tcBorders>
            <w:shd w:val="clear" w:color="auto" w:fill="BCBEB5"/>
          </w:tcPr>
          <w:p w:rsidR="0073433C" w:rsidRDefault="0073433C" w:rsidP="000024FD">
            <w:pPr>
              <w:spacing w:before="60" w:after="60"/>
            </w:pPr>
          </w:p>
        </w:tc>
      </w:tr>
      <w:tr w:rsidR="001476C8" w:rsidTr="005E7ED9">
        <w:tc>
          <w:tcPr>
            <w:tcW w:w="123" w:type="pct"/>
            <w:tcBorders>
              <w:top w:val="single" w:sz="4" w:space="0" w:color="000000"/>
              <w:left w:val="single" w:sz="4" w:space="0" w:color="000000"/>
              <w:bottom w:val="single" w:sz="4" w:space="0" w:color="000000"/>
              <w:right w:val="single" w:sz="4" w:space="0" w:color="000000"/>
            </w:tcBorders>
          </w:tcPr>
          <w:p w:rsidR="001476C8" w:rsidRDefault="00A038D2" w:rsidP="000024FD">
            <w:pPr>
              <w:spacing w:before="60" w:after="60"/>
            </w:pPr>
            <w:r>
              <w:t>1</w:t>
            </w:r>
          </w:p>
        </w:tc>
        <w:tc>
          <w:tcPr>
            <w:tcW w:w="1154" w:type="pct"/>
            <w:tcBorders>
              <w:top w:val="single" w:sz="4" w:space="0" w:color="000000"/>
              <w:left w:val="single" w:sz="4" w:space="0" w:color="000000"/>
              <w:bottom w:val="single" w:sz="4" w:space="0" w:color="000000"/>
              <w:right w:val="single" w:sz="4" w:space="0" w:color="000000"/>
            </w:tcBorders>
          </w:tcPr>
          <w:p w:rsidR="001476C8" w:rsidRDefault="001476C8" w:rsidP="000024FD">
            <w:pPr>
              <w:spacing w:before="60" w:after="60"/>
            </w:pPr>
            <w:r>
              <w:t xml:space="preserve">Appointment, resignation and retirement of </w:t>
            </w:r>
            <w:r w:rsidR="00AF2B25">
              <w:t>board</w:t>
            </w:r>
            <w:r>
              <w:t xml:space="preserve"> members is in line with the g</w:t>
            </w:r>
            <w:r w:rsidR="00D673DD">
              <w:t>overning document and necessary filings are completed (</w:t>
            </w:r>
            <w:proofErr w:type="spellStart"/>
            <w:r w:rsidR="00D673DD">
              <w:t>eg</w:t>
            </w:r>
            <w:proofErr w:type="spellEnd"/>
            <w:r w:rsidR="00D673DD">
              <w:t xml:space="preserve"> at </w:t>
            </w:r>
            <w:r w:rsidR="0073433C">
              <w:t xml:space="preserve">Charity Commission, </w:t>
            </w:r>
            <w:r w:rsidR="00D673DD">
              <w:t>Companies House</w:t>
            </w:r>
            <w:r w:rsidR="00835C3F">
              <w:t>, HMRC</w:t>
            </w:r>
            <w:r w:rsidR="00D673DD">
              <w:t>).</w:t>
            </w:r>
          </w:p>
        </w:tc>
        <w:tc>
          <w:tcPr>
            <w:tcW w:w="1715" w:type="pct"/>
            <w:tcBorders>
              <w:top w:val="single" w:sz="4" w:space="0" w:color="000000"/>
              <w:left w:val="single" w:sz="4" w:space="0" w:color="000000"/>
              <w:bottom w:val="single" w:sz="4" w:space="0" w:color="000000"/>
              <w:right w:val="single" w:sz="4" w:space="0" w:color="000000"/>
            </w:tcBorders>
          </w:tcPr>
          <w:p w:rsidR="001476C8" w:rsidRDefault="001476C8" w:rsidP="000024FD">
            <w:pPr>
              <w:spacing w:before="60" w:after="60"/>
            </w:pPr>
            <w:r>
              <w:t xml:space="preserve">Monitored by a key </w:t>
            </w:r>
            <w:r w:rsidR="00AF2B25">
              <w:t>board</w:t>
            </w:r>
            <w:r w:rsidR="00D673DD">
              <w:t xml:space="preserve"> member or</w:t>
            </w:r>
            <w:r>
              <w:t xml:space="preserve"> company secretary on appointment, resignation and retirement of members</w:t>
            </w:r>
            <w:r w:rsidR="00D673DD">
              <w:t>.</w:t>
            </w:r>
          </w:p>
          <w:p w:rsidR="001476C8" w:rsidRDefault="001476C8" w:rsidP="0073433C">
            <w:pPr>
              <w:spacing w:before="60" w:after="60"/>
            </w:pPr>
            <w:r>
              <w:t>Annual reminder of process is standard at AGM</w:t>
            </w:r>
            <w:r w:rsidR="00D673DD">
              <w:t>,</w:t>
            </w:r>
            <w:r>
              <w:t xml:space="preserve"> </w:t>
            </w:r>
            <w:r w:rsidR="00D673DD">
              <w:t xml:space="preserve">if AGMs are held, </w:t>
            </w:r>
            <w:r>
              <w:t>and possibly summary of appointments</w:t>
            </w:r>
            <w:r w:rsidR="00D673DD">
              <w:t>,</w:t>
            </w:r>
            <w:r>
              <w:t xml:space="preserve"> etc</w:t>
            </w:r>
            <w:r w:rsidR="00D673DD">
              <w:t xml:space="preserve">.  </w:t>
            </w:r>
          </w:p>
        </w:tc>
        <w:tc>
          <w:tcPr>
            <w:tcW w:w="2008" w:type="pct"/>
            <w:tcBorders>
              <w:top w:val="single" w:sz="4" w:space="0" w:color="000000"/>
              <w:left w:val="single" w:sz="4" w:space="0" w:color="000000"/>
              <w:bottom w:val="single" w:sz="4" w:space="0" w:color="000000"/>
              <w:right w:val="single" w:sz="4" w:space="0" w:color="000000"/>
            </w:tcBorders>
          </w:tcPr>
          <w:p w:rsidR="00F40B98" w:rsidRDefault="00515F45" w:rsidP="000024FD">
            <w:pPr>
              <w:spacing w:before="60" w:after="60"/>
            </w:pPr>
            <w:hyperlink r:id="rId9" w:history="1">
              <w:r w:rsidR="00807791">
                <w:rPr>
                  <w:rStyle w:val="Hyperlink"/>
                </w:rPr>
                <w:t>Change your charity's details</w:t>
              </w:r>
            </w:hyperlink>
            <w:r w:rsidR="00F40B98">
              <w:rPr>
                <w:rStyle w:val="Hyperlink"/>
              </w:rPr>
              <w:t xml:space="preserve"> with Charity Commission</w:t>
            </w:r>
          </w:p>
          <w:p w:rsidR="001476C8" w:rsidRDefault="00515F45" w:rsidP="000024FD">
            <w:pPr>
              <w:spacing w:before="60" w:after="60"/>
            </w:pPr>
            <w:hyperlink r:id="rId10" w:history="1">
              <w:r w:rsidR="00807791">
                <w:rPr>
                  <w:rStyle w:val="Hyperlink"/>
                </w:rPr>
                <w:t>File changes to a limited company with Companies House</w:t>
              </w:r>
            </w:hyperlink>
            <w:r w:rsidR="00835C3F">
              <w:t xml:space="preserve">  </w:t>
            </w:r>
          </w:p>
        </w:tc>
      </w:tr>
      <w:tr w:rsidR="00A038D2" w:rsidTr="005E7ED9">
        <w:tc>
          <w:tcPr>
            <w:tcW w:w="123" w:type="pct"/>
            <w:tcBorders>
              <w:top w:val="single" w:sz="4" w:space="0" w:color="000000"/>
              <w:left w:val="single" w:sz="4" w:space="0" w:color="000000"/>
              <w:bottom w:val="single" w:sz="4" w:space="0" w:color="000000"/>
              <w:right w:val="single" w:sz="4" w:space="0" w:color="000000"/>
            </w:tcBorders>
          </w:tcPr>
          <w:p w:rsidR="00A038D2" w:rsidRDefault="00A038D2" w:rsidP="000024FD">
            <w:pPr>
              <w:spacing w:before="60" w:after="60"/>
            </w:pPr>
            <w:r>
              <w:t>2</w:t>
            </w:r>
          </w:p>
        </w:tc>
        <w:tc>
          <w:tcPr>
            <w:tcW w:w="1154" w:type="pct"/>
            <w:tcBorders>
              <w:top w:val="single" w:sz="4" w:space="0" w:color="000000"/>
              <w:left w:val="single" w:sz="4" w:space="0" w:color="000000"/>
              <w:bottom w:val="single" w:sz="4" w:space="0" w:color="000000"/>
              <w:right w:val="single" w:sz="4" w:space="0" w:color="000000"/>
            </w:tcBorders>
          </w:tcPr>
          <w:p w:rsidR="00A038D2" w:rsidRDefault="00A038D2" w:rsidP="000024FD">
            <w:pPr>
              <w:spacing w:before="60" w:after="60"/>
            </w:pPr>
            <w:r>
              <w:t xml:space="preserve">Accurate and up-to-date registers of members and </w:t>
            </w:r>
            <w:r w:rsidR="00AF2B25">
              <w:t>board</w:t>
            </w:r>
            <w:r>
              <w:t xml:space="preserve"> members are kept.</w:t>
            </w:r>
          </w:p>
        </w:tc>
        <w:tc>
          <w:tcPr>
            <w:tcW w:w="1715" w:type="pct"/>
            <w:tcBorders>
              <w:top w:val="single" w:sz="4" w:space="0" w:color="000000"/>
              <w:left w:val="single" w:sz="4" w:space="0" w:color="000000"/>
              <w:bottom w:val="single" w:sz="4" w:space="0" w:color="000000"/>
              <w:right w:val="single" w:sz="4" w:space="0" w:color="000000"/>
            </w:tcBorders>
          </w:tcPr>
          <w:p w:rsidR="00A038D2" w:rsidRDefault="00A038D2" w:rsidP="00544721">
            <w:pPr>
              <w:spacing w:before="60" w:after="60"/>
            </w:pPr>
          </w:p>
        </w:tc>
        <w:tc>
          <w:tcPr>
            <w:tcW w:w="2008" w:type="pct"/>
            <w:tcBorders>
              <w:top w:val="single" w:sz="4" w:space="0" w:color="000000"/>
              <w:left w:val="single" w:sz="4" w:space="0" w:color="000000"/>
              <w:bottom w:val="single" w:sz="4" w:space="0" w:color="000000"/>
              <w:right w:val="single" w:sz="4" w:space="0" w:color="000000"/>
            </w:tcBorders>
          </w:tcPr>
          <w:p w:rsidR="00A038D2" w:rsidRDefault="00515F45" w:rsidP="00544721">
            <w:pPr>
              <w:spacing w:before="60" w:after="60"/>
            </w:pPr>
            <w:hyperlink r:id="rId11" w:anchor="company-registers" w:history="1">
              <w:r w:rsidR="00807791">
                <w:rPr>
                  <w:rStyle w:val="Hyperlink"/>
                </w:rPr>
                <w:t>Company registers</w:t>
              </w:r>
            </w:hyperlink>
            <w:r w:rsidR="00370CFA">
              <w:t xml:space="preserve"> </w:t>
            </w:r>
            <w:r w:rsidR="00D078F9">
              <w:t>(Companies House guidance)</w:t>
            </w:r>
          </w:p>
        </w:tc>
      </w:tr>
      <w:tr w:rsidR="001476C8" w:rsidTr="005E7ED9">
        <w:tc>
          <w:tcPr>
            <w:tcW w:w="123" w:type="pct"/>
            <w:tcBorders>
              <w:top w:val="single" w:sz="4" w:space="0" w:color="000000"/>
              <w:left w:val="single" w:sz="4" w:space="0" w:color="000000"/>
              <w:bottom w:val="single" w:sz="4" w:space="0" w:color="000000"/>
              <w:right w:val="single" w:sz="4" w:space="0" w:color="000000"/>
            </w:tcBorders>
          </w:tcPr>
          <w:p w:rsidR="001476C8" w:rsidRDefault="00A038D2" w:rsidP="000024FD">
            <w:pPr>
              <w:spacing w:before="60" w:after="60"/>
            </w:pPr>
            <w:r>
              <w:t>3</w:t>
            </w:r>
          </w:p>
        </w:tc>
        <w:tc>
          <w:tcPr>
            <w:tcW w:w="1154" w:type="pct"/>
            <w:tcBorders>
              <w:top w:val="single" w:sz="4" w:space="0" w:color="000000"/>
              <w:left w:val="single" w:sz="4" w:space="0" w:color="000000"/>
              <w:bottom w:val="single" w:sz="4" w:space="0" w:color="000000"/>
              <w:right w:val="single" w:sz="4" w:space="0" w:color="000000"/>
            </w:tcBorders>
          </w:tcPr>
          <w:p w:rsidR="001476C8" w:rsidRDefault="001476C8" w:rsidP="000024FD">
            <w:pPr>
              <w:spacing w:before="60" w:after="60"/>
            </w:pPr>
            <w:r>
              <w:t xml:space="preserve">Length of service of </w:t>
            </w:r>
            <w:r w:rsidR="00AF2B25">
              <w:t>board</w:t>
            </w:r>
            <w:r w:rsidR="00A038D2">
              <w:t xml:space="preserve"> members</w:t>
            </w:r>
            <w:r>
              <w:t xml:space="preserve"> and any requirements for meeting attendance is in l</w:t>
            </w:r>
            <w:r w:rsidR="00D673DD">
              <w:t>ine with the governing document</w:t>
            </w:r>
            <w:r w:rsidR="00A038D2">
              <w:t>.</w:t>
            </w:r>
          </w:p>
        </w:tc>
        <w:tc>
          <w:tcPr>
            <w:tcW w:w="1715" w:type="pct"/>
            <w:tcBorders>
              <w:top w:val="single" w:sz="4" w:space="0" w:color="000000"/>
              <w:left w:val="single" w:sz="4" w:space="0" w:color="000000"/>
              <w:bottom w:val="single" w:sz="4" w:space="0" w:color="000000"/>
              <w:right w:val="single" w:sz="4" w:space="0" w:color="000000"/>
            </w:tcBorders>
          </w:tcPr>
          <w:p w:rsidR="001476C8" w:rsidRDefault="001476C8" w:rsidP="00AF2B25">
            <w:pPr>
              <w:spacing w:before="60" w:after="60"/>
            </w:pPr>
            <w:r>
              <w:t xml:space="preserve">List of </w:t>
            </w:r>
            <w:r w:rsidR="00AF2B25">
              <w:t>board</w:t>
            </w:r>
            <w:r w:rsidR="00A038D2">
              <w:t xml:space="preserve"> members</w:t>
            </w:r>
            <w:r>
              <w:t xml:space="preserve"> with appointment dates, due retirement dates</w:t>
            </w:r>
            <w:r w:rsidR="00D673DD">
              <w:t>,</w:t>
            </w:r>
            <w:r>
              <w:t xml:space="preserve"> </w:t>
            </w:r>
            <w:proofErr w:type="spellStart"/>
            <w:r>
              <w:t>etc</w:t>
            </w:r>
            <w:proofErr w:type="spellEnd"/>
            <w:r>
              <w:t xml:space="preserve"> clearly shown (plus attendance at meetings and information about quorum requirements)</w:t>
            </w:r>
            <w:r w:rsidR="00D673DD">
              <w:t xml:space="preserve">. </w:t>
            </w:r>
            <w:r w:rsidR="00A038D2">
              <w:t>This ‘</w:t>
            </w:r>
            <w:r>
              <w:t xml:space="preserve">register’ can be kept by a key </w:t>
            </w:r>
            <w:r w:rsidR="00AF2B25">
              <w:t xml:space="preserve">board member </w:t>
            </w:r>
            <w:r>
              <w:t>or delegated to paid staff</w:t>
            </w:r>
            <w:r w:rsidR="00D673DD">
              <w:t xml:space="preserve">.  </w:t>
            </w:r>
            <w:r>
              <w:t xml:space="preserve">Discussed (and if appropriate displayed) at AGM or annually at a </w:t>
            </w:r>
            <w:r w:rsidR="00AF2B25">
              <w:t>board</w:t>
            </w:r>
            <w:r>
              <w:t xml:space="preserve"> meeting/sub</w:t>
            </w:r>
            <w:r w:rsidR="00D47C24">
              <w:t>-</w:t>
            </w:r>
            <w:r>
              <w:t>committee meeting</w:t>
            </w:r>
            <w:r w:rsidR="00D673DD">
              <w:t>.</w:t>
            </w:r>
          </w:p>
        </w:tc>
        <w:tc>
          <w:tcPr>
            <w:tcW w:w="2008" w:type="pct"/>
            <w:tcBorders>
              <w:top w:val="single" w:sz="4" w:space="0" w:color="000000"/>
              <w:left w:val="single" w:sz="4" w:space="0" w:color="000000"/>
              <w:bottom w:val="single" w:sz="4" w:space="0" w:color="000000"/>
              <w:right w:val="single" w:sz="4" w:space="0" w:color="000000"/>
            </w:tcBorders>
          </w:tcPr>
          <w:p w:rsidR="001476C8" w:rsidRDefault="001476C8" w:rsidP="000024FD">
            <w:pPr>
              <w:spacing w:before="60" w:after="60"/>
            </w:pPr>
          </w:p>
        </w:tc>
      </w:tr>
      <w:tr w:rsidR="001476C8" w:rsidTr="005E7ED9">
        <w:tc>
          <w:tcPr>
            <w:tcW w:w="123" w:type="pct"/>
            <w:tcBorders>
              <w:top w:val="single" w:sz="4" w:space="0" w:color="000000"/>
              <w:left w:val="single" w:sz="4" w:space="0" w:color="000000"/>
              <w:bottom w:val="single" w:sz="4" w:space="0" w:color="000000"/>
              <w:right w:val="single" w:sz="4" w:space="0" w:color="000000"/>
            </w:tcBorders>
          </w:tcPr>
          <w:p w:rsidR="001476C8" w:rsidRDefault="00A038D2" w:rsidP="000024FD">
            <w:pPr>
              <w:spacing w:before="60" w:after="60"/>
            </w:pPr>
            <w:r>
              <w:t>4</w:t>
            </w:r>
          </w:p>
        </w:tc>
        <w:tc>
          <w:tcPr>
            <w:tcW w:w="1154" w:type="pct"/>
            <w:tcBorders>
              <w:top w:val="single" w:sz="4" w:space="0" w:color="000000"/>
              <w:left w:val="single" w:sz="4" w:space="0" w:color="000000"/>
              <w:bottom w:val="single" w:sz="4" w:space="0" w:color="000000"/>
              <w:right w:val="single" w:sz="4" w:space="0" w:color="000000"/>
            </w:tcBorders>
          </w:tcPr>
          <w:p w:rsidR="001476C8" w:rsidRDefault="00A038D2" w:rsidP="000024FD">
            <w:pPr>
              <w:spacing w:before="60" w:after="60"/>
            </w:pPr>
            <w:r>
              <w:t>Members’</w:t>
            </w:r>
            <w:r w:rsidR="001476C8">
              <w:t xml:space="preserve"> meetings</w:t>
            </w:r>
            <w:r>
              <w:t xml:space="preserve">, including AGMs </w:t>
            </w:r>
            <w:r>
              <w:lastRenderedPageBreak/>
              <w:t>(if required),</w:t>
            </w:r>
            <w:r w:rsidR="001476C8">
              <w:t xml:space="preserve"> are </w:t>
            </w:r>
            <w:r w:rsidR="00AF2B25">
              <w:t xml:space="preserve">called and </w:t>
            </w:r>
            <w:r w:rsidR="001476C8">
              <w:t>run in accorda</w:t>
            </w:r>
            <w:r w:rsidR="00D673DD">
              <w:t>nce with the governing document</w:t>
            </w:r>
            <w:r>
              <w:t xml:space="preserve"> and, if relevant, company law.</w:t>
            </w:r>
          </w:p>
        </w:tc>
        <w:tc>
          <w:tcPr>
            <w:tcW w:w="1715" w:type="pct"/>
            <w:tcBorders>
              <w:top w:val="single" w:sz="4" w:space="0" w:color="000000"/>
              <w:left w:val="single" w:sz="4" w:space="0" w:color="000000"/>
              <w:bottom w:val="single" w:sz="4" w:space="0" w:color="000000"/>
              <w:right w:val="single" w:sz="4" w:space="0" w:color="000000"/>
            </w:tcBorders>
          </w:tcPr>
          <w:p w:rsidR="001476C8" w:rsidRDefault="001476C8" w:rsidP="000024FD">
            <w:pPr>
              <w:spacing w:before="60" w:after="60"/>
            </w:pPr>
          </w:p>
        </w:tc>
        <w:tc>
          <w:tcPr>
            <w:tcW w:w="2008" w:type="pct"/>
            <w:tcBorders>
              <w:top w:val="single" w:sz="4" w:space="0" w:color="000000"/>
              <w:left w:val="single" w:sz="4" w:space="0" w:color="000000"/>
              <w:bottom w:val="single" w:sz="4" w:space="0" w:color="000000"/>
              <w:right w:val="single" w:sz="4" w:space="0" w:color="000000"/>
            </w:tcBorders>
          </w:tcPr>
          <w:p w:rsidR="001476C8" w:rsidRDefault="00515F45" w:rsidP="000024FD">
            <w:pPr>
              <w:spacing w:before="60" w:after="60"/>
            </w:pPr>
            <w:hyperlink r:id="rId12" w:history="1">
              <w:r w:rsidR="00807791">
                <w:rPr>
                  <w:rStyle w:val="Hyperlink"/>
                </w:rPr>
                <w:t>Checklist for a general meeting</w:t>
              </w:r>
            </w:hyperlink>
            <w:r w:rsidR="000B08B9">
              <w:t xml:space="preserve"> </w:t>
            </w:r>
            <w:r w:rsidR="00D078F9">
              <w:t>(customised document £</w:t>
            </w:r>
            <w:r w:rsidR="00D078F9" w:rsidRPr="00D078F9">
              <w:t>)</w:t>
            </w:r>
          </w:p>
          <w:p w:rsidR="000B08B9" w:rsidRDefault="00515F45" w:rsidP="000024FD">
            <w:pPr>
              <w:spacing w:before="60" w:after="60"/>
            </w:pPr>
            <w:hyperlink r:id="rId13" w:history="1">
              <w:r w:rsidR="00807791" w:rsidRPr="00807791">
                <w:rPr>
                  <w:rStyle w:val="Hyperlink"/>
                </w:rPr>
                <w:t>Notice of AGM</w:t>
              </w:r>
            </w:hyperlink>
            <w:r w:rsidR="00D078F9">
              <w:t xml:space="preserve"> (customised document £)</w:t>
            </w:r>
          </w:p>
        </w:tc>
      </w:tr>
      <w:tr w:rsidR="001476C8" w:rsidTr="005E7ED9">
        <w:tc>
          <w:tcPr>
            <w:tcW w:w="123" w:type="pct"/>
            <w:tcBorders>
              <w:top w:val="single" w:sz="4" w:space="0" w:color="000000"/>
              <w:left w:val="single" w:sz="4" w:space="0" w:color="000000"/>
              <w:bottom w:val="single" w:sz="4" w:space="0" w:color="000000"/>
              <w:right w:val="single" w:sz="4" w:space="0" w:color="000000"/>
            </w:tcBorders>
          </w:tcPr>
          <w:p w:rsidR="001476C8" w:rsidRDefault="00A038D2" w:rsidP="000024FD">
            <w:pPr>
              <w:spacing w:before="60" w:after="60"/>
            </w:pPr>
            <w:r>
              <w:lastRenderedPageBreak/>
              <w:t>5</w:t>
            </w:r>
          </w:p>
        </w:tc>
        <w:tc>
          <w:tcPr>
            <w:tcW w:w="1154" w:type="pct"/>
            <w:tcBorders>
              <w:top w:val="single" w:sz="4" w:space="0" w:color="000000"/>
              <w:left w:val="single" w:sz="4" w:space="0" w:color="000000"/>
              <w:bottom w:val="single" w:sz="4" w:space="0" w:color="000000"/>
              <w:right w:val="single" w:sz="4" w:space="0" w:color="000000"/>
            </w:tcBorders>
          </w:tcPr>
          <w:p w:rsidR="001476C8" w:rsidRDefault="001476C8" w:rsidP="000024FD">
            <w:pPr>
              <w:spacing w:before="60" w:after="60"/>
            </w:pPr>
            <w:r>
              <w:t xml:space="preserve">Board meetings are </w:t>
            </w:r>
            <w:r w:rsidR="00AF2B25">
              <w:t xml:space="preserve">called and </w:t>
            </w:r>
            <w:r>
              <w:t>run in accorda</w:t>
            </w:r>
            <w:r w:rsidR="00D673DD">
              <w:t>nce with the governing document</w:t>
            </w:r>
            <w:r w:rsidR="00A038D2">
              <w:t>.</w:t>
            </w:r>
          </w:p>
        </w:tc>
        <w:tc>
          <w:tcPr>
            <w:tcW w:w="1715" w:type="pct"/>
            <w:tcBorders>
              <w:top w:val="single" w:sz="4" w:space="0" w:color="000000"/>
              <w:left w:val="single" w:sz="4" w:space="0" w:color="000000"/>
              <w:bottom w:val="single" w:sz="4" w:space="0" w:color="000000"/>
              <w:right w:val="single" w:sz="4" w:space="0" w:color="000000"/>
            </w:tcBorders>
          </w:tcPr>
          <w:p w:rsidR="001476C8" w:rsidRDefault="001476C8" w:rsidP="00D47C24">
            <w:pPr>
              <w:spacing w:before="60" w:after="60"/>
            </w:pPr>
            <w:r>
              <w:t>Annual reminder of process and quorum requirements in Trustee meeting – (do together with a general recap of governing document and roles of trustees reminder- could be done in just 30 mins)</w:t>
            </w:r>
            <w:r w:rsidR="00D673DD">
              <w:t xml:space="preserve">. </w:t>
            </w:r>
            <w:r>
              <w:t xml:space="preserve">If keeping a register of </w:t>
            </w:r>
            <w:r w:rsidR="00AF2B25">
              <w:t>board</w:t>
            </w:r>
            <w:r w:rsidR="00A038D2">
              <w:t xml:space="preserve"> </w:t>
            </w:r>
            <w:r w:rsidR="00544721">
              <w:t xml:space="preserve">members </w:t>
            </w:r>
            <w:r>
              <w:t xml:space="preserve">(see number </w:t>
            </w:r>
            <w:r w:rsidR="00AF2B25">
              <w:t>3</w:t>
            </w:r>
            <w:r>
              <w:t xml:space="preserve"> above) attending meetings/length of service </w:t>
            </w:r>
            <w:proofErr w:type="spellStart"/>
            <w:r>
              <w:t>etc</w:t>
            </w:r>
            <w:proofErr w:type="spellEnd"/>
            <w:r>
              <w:t>, simply add a note for each meeting giving total number of attendees and fact that quorum reached</w:t>
            </w:r>
            <w:r w:rsidR="00D673DD">
              <w:t xml:space="preserve">. </w:t>
            </w:r>
          </w:p>
        </w:tc>
        <w:tc>
          <w:tcPr>
            <w:tcW w:w="2008" w:type="pct"/>
            <w:tcBorders>
              <w:top w:val="single" w:sz="4" w:space="0" w:color="000000"/>
              <w:left w:val="single" w:sz="4" w:space="0" w:color="000000"/>
              <w:bottom w:val="single" w:sz="4" w:space="0" w:color="000000"/>
              <w:right w:val="single" w:sz="4" w:space="0" w:color="000000"/>
            </w:tcBorders>
          </w:tcPr>
          <w:p w:rsidR="001476C8" w:rsidRDefault="001476C8" w:rsidP="000024FD">
            <w:pPr>
              <w:spacing w:before="60" w:after="60"/>
            </w:pPr>
          </w:p>
        </w:tc>
      </w:tr>
      <w:tr w:rsidR="00A038D2" w:rsidTr="005E7ED9">
        <w:tc>
          <w:tcPr>
            <w:tcW w:w="123" w:type="pct"/>
            <w:tcBorders>
              <w:top w:val="single" w:sz="4" w:space="0" w:color="000000"/>
              <w:left w:val="single" w:sz="4" w:space="0" w:color="000000"/>
              <w:bottom w:val="single" w:sz="4" w:space="0" w:color="000000"/>
              <w:right w:val="single" w:sz="4" w:space="0" w:color="000000"/>
            </w:tcBorders>
          </w:tcPr>
          <w:p w:rsidR="00A038D2" w:rsidRDefault="00A038D2" w:rsidP="000024FD">
            <w:pPr>
              <w:spacing w:before="60" w:after="60"/>
            </w:pPr>
            <w:r>
              <w:t>6</w:t>
            </w:r>
          </w:p>
        </w:tc>
        <w:tc>
          <w:tcPr>
            <w:tcW w:w="1154" w:type="pct"/>
            <w:tcBorders>
              <w:top w:val="single" w:sz="4" w:space="0" w:color="000000"/>
              <w:left w:val="single" w:sz="4" w:space="0" w:color="000000"/>
              <w:bottom w:val="single" w:sz="4" w:space="0" w:color="000000"/>
              <w:right w:val="single" w:sz="4" w:space="0" w:color="000000"/>
            </w:tcBorders>
          </w:tcPr>
          <w:p w:rsidR="00A038D2" w:rsidRDefault="00A038D2" w:rsidP="000024FD">
            <w:pPr>
              <w:spacing w:before="60" w:after="60"/>
            </w:pPr>
            <w:r>
              <w:t xml:space="preserve">Minutes are taken of </w:t>
            </w:r>
            <w:r w:rsidR="00AF2B25">
              <w:t>board</w:t>
            </w:r>
            <w:r>
              <w:t xml:space="preserve"> meetings and all other formal decisions of the </w:t>
            </w:r>
            <w:r w:rsidR="00AF2B25">
              <w:t>board</w:t>
            </w:r>
            <w:r>
              <w:t xml:space="preserve"> are properly recorded.</w:t>
            </w:r>
          </w:p>
        </w:tc>
        <w:tc>
          <w:tcPr>
            <w:tcW w:w="1715" w:type="pct"/>
            <w:tcBorders>
              <w:top w:val="single" w:sz="4" w:space="0" w:color="000000"/>
              <w:left w:val="single" w:sz="4" w:space="0" w:color="000000"/>
              <w:bottom w:val="single" w:sz="4" w:space="0" w:color="000000"/>
              <w:right w:val="single" w:sz="4" w:space="0" w:color="000000"/>
            </w:tcBorders>
          </w:tcPr>
          <w:p w:rsidR="00A038D2" w:rsidRDefault="00A038D2" w:rsidP="000024FD">
            <w:pPr>
              <w:spacing w:before="60" w:after="60"/>
            </w:pPr>
            <w:r>
              <w:t>Minutes and records of decisions can be kept digitally.</w:t>
            </w:r>
          </w:p>
        </w:tc>
        <w:tc>
          <w:tcPr>
            <w:tcW w:w="2008" w:type="pct"/>
            <w:tcBorders>
              <w:top w:val="single" w:sz="4" w:space="0" w:color="000000"/>
              <w:left w:val="single" w:sz="4" w:space="0" w:color="000000"/>
              <w:bottom w:val="single" w:sz="4" w:space="0" w:color="000000"/>
              <w:right w:val="single" w:sz="4" w:space="0" w:color="000000"/>
            </w:tcBorders>
          </w:tcPr>
          <w:p w:rsidR="00A038D2" w:rsidRDefault="00515F45">
            <w:pPr>
              <w:spacing w:before="60" w:after="60"/>
            </w:pPr>
            <w:hyperlink r:id="rId14" w:anchor="minutes" w:history="1">
              <w:r w:rsidR="00D078F9">
                <w:rPr>
                  <w:rStyle w:val="Hyperlink"/>
                </w:rPr>
                <w:t>C</w:t>
              </w:r>
              <w:r w:rsidR="00F33559">
                <w:rPr>
                  <w:rStyle w:val="Hyperlink"/>
                </w:rPr>
                <w:t>harities and meetings: Minutes</w:t>
              </w:r>
            </w:hyperlink>
            <w:r w:rsidR="00FC3A77">
              <w:t xml:space="preserve"> </w:t>
            </w:r>
            <w:r w:rsidR="00D078F9">
              <w:t>(Charity Commission guidance)</w:t>
            </w:r>
          </w:p>
        </w:tc>
      </w:tr>
      <w:tr w:rsidR="00DA4BEF" w:rsidTr="005E7ED9">
        <w:tc>
          <w:tcPr>
            <w:tcW w:w="123" w:type="pct"/>
            <w:tcBorders>
              <w:top w:val="single" w:sz="4" w:space="0" w:color="000000"/>
              <w:left w:val="single" w:sz="4" w:space="0" w:color="000000"/>
              <w:bottom w:val="single" w:sz="4" w:space="0" w:color="000000"/>
              <w:right w:val="single" w:sz="4" w:space="0" w:color="000000"/>
            </w:tcBorders>
          </w:tcPr>
          <w:p w:rsidR="00DA4BEF" w:rsidRDefault="00740C75" w:rsidP="005E7558">
            <w:pPr>
              <w:spacing w:before="60" w:after="60"/>
            </w:pPr>
            <w:r>
              <w:t>7</w:t>
            </w:r>
          </w:p>
        </w:tc>
        <w:tc>
          <w:tcPr>
            <w:tcW w:w="1154"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Board members act in the best interests of the organisation.</w:t>
            </w:r>
          </w:p>
        </w:tc>
        <w:tc>
          <w:tcPr>
            <w:tcW w:w="1715"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Explain board duties (of which this is one) during induction.  Consider holding periodic reminder sessions (perhaps every three years).</w:t>
            </w:r>
          </w:p>
        </w:tc>
        <w:tc>
          <w:tcPr>
            <w:tcW w:w="2008" w:type="pct"/>
            <w:tcBorders>
              <w:top w:val="single" w:sz="4" w:space="0" w:color="000000"/>
              <w:left w:val="single" w:sz="4" w:space="0" w:color="000000"/>
              <w:bottom w:val="single" w:sz="4" w:space="0" w:color="000000"/>
              <w:right w:val="single" w:sz="4" w:space="0" w:color="000000"/>
            </w:tcBorders>
          </w:tcPr>
          <w:p w:rsidR="00DA4BEF" w:rsidRDefault="00515F45" w:rsidP="005E7558">
            <w:pPr>
              <w:spacing w:before="60" w:after="60"/>
            </w:pPr>
            <w:hyperlink r:id="rId15" w:history="1">
              <w:r w:rsidR="00D078F9">
                <w:rPr>
                  <w:rStyle w:val="Hyperlink"/>
                </w:rPr>
                <w:t xml:space="preserve">The </w:t>
              </w:r>
              <w:r w:rsidR="00DA4BEF" w:rsidRPr="000B08B9">
                <w:rPr>
                  <w:rStyle w:val="Hyperlink"/>
                </w:rPr>
                <w:t>Essential Trustee</w:t>
              </w:r>
            </w:hyperlink>
            <w:r w:rsidR="00D078F9" w:rsidRPr="005E7ED9">
              <w:rPr>
                <w:rStyle w:val="Hyperlink"/>
                <w:color w:val="auto"/>
                <w:u w:val="none"/>
              </w:rPr>
              <w:t xml:space="preserve"> (Charity Commission guidance</w:t>
            </w:r>
            <w:r w:rsidR="00D078F9">
              <w:rPr>
                <w:rStyle w:val="Hyperlink"/>
                <w:color w:val="auto"/>
                <w:u w:val="none"/>
              </w:rPr>
              <w:t>)</w:t>
            </w:r>
          </w:p>
          <w:p w:rsidR="008C2220" w:rsidRDefault="00515F45" w:rsidP="005E7558">
            <w:pPr>
              <w:spacing w:before="60" w:after="60"/>
            </w:pPr>
            <w:hyperlink r:id="rId16" w:history="1">
              <w:r w:rsidR="00F33559">
                <w:rPr>
                  <w:rStyle w:val="Hyperlink"/>
                </w:rPr>
                <w:t>Board responsibilities</w:t>
              </w:r>
            </w:hyperlink>
            <w:r w:rsidR="008C2220">
              <w:t xml:space="preserve"> </w:t>
            </w:r>
            <w:r w:rsidR="00D078F9">
              <w:t>(NCVO guidance)</w:t>
            </w:r>
          </w:p>
        </w:tc>
      </w:tr>
      <w:tr w:rsidR="00DA4BEF" w:rsidTr="005E7ED9">
        <w:tc>
          <w:tcPr>
            <w:tcW w:w="123" w:type="pct"/>
            <w:tcBorders>
              <w:top w:val="single" w:sz="4" w:space="0" w:color="000000"/>
              <w:left w:val="single" w:sz="4" w:space="0" w:color="000000"/>
              <w:bottom w:val="single" w:sz="4" w:space="0" w:color="000000"/>
              <w:right w:val="single" w:sz="4" w:space="0" w:color="000000"/>
            </w:tcBorders>
          </w:tcPr>
          <w:p w:rsidR="00DA4BEF" w:rsidRDefault="00740C75" w:rsidP="005E7558">
            <w:pPr>
              <w:spacing w:before="60" w:after="60"/>
            </w:pPr>
            <w:r>
              <w:t>8</w:t>
            </w:r>
          </w:p>
        </w:tc>
        <w:tc>
          <w:tcPr>
            <w:tcW w:w="1154"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If a charity, the board ensures that any private benefit from the organisation, including any benefit derived by a board member or person connected with him or her, is authorised under the governing document.</w:t>
            </w:r>
          </w:p>
        </w:tc>
        <w:tc>
          <w:tcPr>
            <w:tcW w:w="1715"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p>
        </w:tc>
        <w:tc>
          <w:tcPr>
            <w:tcW w:w="2008"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p>
        </w:tc>
      </w:tr>
    </w:tbl>
    <w:p w:rsidR="002D0477" w:rsidRDefault="002D0477"/>
    <w:tbl>
      <w:tblPr>
        <w:tblStyle w:val="TableGrid"/>
        <w:tblW w:w="5000" w:type="pct"/>
        <w:tblInd w:w="0" w:type="dxa"/>
        <w:tblCellMar>
          <w:top w:w="9" w:type="dxa"/>
          <w:left w:w="108" w:type="dxa"/>
          <w:right w:w="47" w:type="dxa"/>
        </w:tblCellMar>
        <w:tblLook w:val="04A0" w:firstRow="1" w:lastRow="0" w:firstColumn="1" w:lastColumn="0" w:noHBand="0" w:noVBand="1"/>
      </w:tblPr>
      <w:tblGrid>
        <w:gridCol w:w="382"/>
        <w:gridCol w:w="3590"/>
        <w:gridCol w:w="5335"/>
        <w:gridCol w:w="6246"/>
      </w:tblGrid>
      <w:tr w:rsidR="00DA4BEF" w:rsidTr="005E7ED9">
        <w:tc>
          <w:tcPr>
            <w:tcW w:w="123" w:type="pct"/>
            <w:tcBorders>
              <w:top w:val="single" w:sz="4" w:space="0" w:color="000000"/>
              <w:left w:val="single" w:sz="4" w:space="0" w:color="000000"/>
              <w:bottom w:val="single" w:sz="4" w:space="0" w:color="000000"/>
              <w:right w:val="single" w:sz="4" w:space="0" w:color="000000"/>
            </w:tcBorders>
          </w:tcPr>
          <w:p w:rsidR="00DA4BEF" w:rsidRDefault="00740C75" w:rsidP="005E7558">
            <w:pPr>
              <w:spacing w:before="60" w:after="60"/>
            </w:pPr>
            <w:r>
              <w:t>9</w:t>
            </w:r>
          </w:p>
        </w:tc>
        <w:tc>
          <w:tcPr>
            <w:tcW w:w="1154"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Conflicts of interests are declared and managed by the board.</w:t>
            </w:r>
          </w:p>
        </w:tc>
        <w:tc>
          <w:tcPr>
            <w:tcW w:w="1715" w:type="pct"/>
            <w:tcBorders>
              <w:top w:val="single" w:sz="4" w:space="0" w:color="000000"/>
              <w:left w:val="single" w:sz="4" w:space="0" w:color="000000"/>
              <w:bottom w:val="single" w:sz="4" w:space="0" w:color="000000"/>
              <w:right w:val="single" w:sz="4" w:space="0" w:color="000000"/>
            </w:tcBorders>
          </w:tcPr>
          <w:p w:rsidR="00DA4BEF" w:rsidRDefault="00DA4BEF" w:rsidP="00D47C24">
            <w:pPr>
              <w:spacing w:before="60" w:after="60"/>
            </w:pPr>
            <w:r>
              <w:t xml:space="preserve">Set up a system, </w:t>
            </w:r>
            <w:proofErr w:type="spellStart"/>
            <w:r w:rsidR="001A20BE">
              <w:t>eg</w:t>
            </w:r>
            <w:proofErr w:type="spellEnd"/>
            <w:r>
              <w:t xml:space="preserve"> register of interests which is maintained by company secretary or delegated to a key </w:t>
            </w:r>
            <w:r>
              <w:lastRenderedPageBreak/>
              <w:t>board member or member of staff. Chair to remind to declare any conflict of interest in each board meeting (can be first agenda item). Arrange for annual update of register of interests.</w:t>
            </w:r>
          </w:p>
        </w:tc>
        <w:tc>
          <w:tcPr>
            <w:tcW w:w="2008" w:type="pct"/>
            <w:tcBorders>
              <w:top w:val="single" w:sz="4" w:space="0" w:color="000000"/>
              <w:left w:val="single" w:sz="4" w:space="0" w:color="000000"/>
              <w:bottom w:val="single" w:sz="4" w:space="0" w:color="000000"/>
              <w:right w:val="single" w:sz="4" w:space="0" w:color="000000"/>
            </w:tcBorders>
          </w:tcPr>
          <w:p w:rsidR="00DA4BEF" w:rsidRDefault="00515F45" w:rsidP="005E7558">
            <w:pPr>
              <w:spacing w:before="60" w:after="60"/>
            </w:pPr>
            <w:hyperlink r:id="rId17" w:history="1">
              <w:r w:rsidR="00F33559">
                <w:rPr>
                  <w:rStyle w:val="Hyperlink"/>
                </w:rPr>
                <w:t xml:space="preserve">Manage a conflict of interest in your </w:t>
              </w:r>
              <w:r w:rsidR="00D078F9">
                <w:rPr>
                  <w:rStyle w:val="Hyperlink"/>
                </w:rPr>
                <w:t>charity</w:t>
              </w:r>
            </w:hyperlink>
            <w:r w:rsidR="009C761F">
              <w:t xml:space="preserve"> </w:t>
            </w:r>
            <w:r w:rsidR="008D7436">
              <w:t>(</w:t>
            </w:r>
            <w:r w:rsidR="00D078F9">
              <w:t>NCVO member template</w:t>
            </w:r>
            <w:r w:rsidR="008D7436">
              <w:t>)</w:t>
            </w:r>
          </w:p>
          <w:p w:rsidR="00D078F9" w:rsidRDefault="00515F45" w:rsidP="005E7558">
            <w:pPr>
              <w:spacing w:before="60" w:after="60"/>
            </w:pPr>
            <w:hyperlink r:id="rId18" w:history="1">
              <w:r w:rsidR="0020602D">
                <w:rPr>
                  <w:rStyle w:val="Hyperlink"/>
                </w:rPr>
                <w:t>Declaration of interests form</w:t>
              </w:r>
            </w:hyperlink>
            <w:r w:rsidR="00D078F9" w:rsidRPr="005E7ED9">
              <w:rPr>
                <w:rStyle w:val="Hyperlink"/>
                <w:color w:val="auto"/>
                <w:u w:val="none"/>
              </w:rPr>
              <w:t xml:space="preserve"> </w:t>
            </w:r>
            <w:r w:rsidR="008D7436">
              <w:rPr>
                <w:rStyle w:val="Hyperlink"/>
                <w:color w:val="auto"/>
                <w:u w:val="none"/>
              </w:rPr>
              <w:t>(</w:t>
            </w:r>
            <w:r w:rsidR="00D078F9" w:rsidRPr="005E7ED9">
              <w:rPr>
                <w:rStyle w:val="Hyperlink"/>
                <w:color w:val="auto"/>
                <w:u w:val="none"/>
              </w:rPr>
              <w:t>NCVO member template</w:t>
            </w:r>
            <w:r w:rsidR="008D7436">
              <w:rPr>
                <w:rStyle w:val="Hyperlink"/>
                <w:color w:val="auto"/>
                <w:u w:val="none"/>
              </w:rPr>
              <w:t>)</w:t>
            </w:r>
          </w:p>
          <w:p w:rsidR="008C2220" w:rsidRDefault="008C2220" w:rsidP="005E7558">
            <w:pPr>
              <w:spacing w:before="60" w:after="60"/>
            </w:pPr>
          </w:p>
        </w:tc>
      </w:tr>
      <w:tr w:rsidR="000E6FE6" w:rsidTr="005E7ED9">
        <w:tc>
          <w:tcPr>
            <w:tcW w:w="123" w:type="pct"/>
            <w:tcBorders>
              <w:top w:val="single" w:sz="4" w:space="0" w:color="000000"/>
              <w:left w:val="single" w:sz="4" w:space="0" w:color="000000"/>
              <w:bottom w:val="single" w:sz="4" w:space="0" w:color="000000"/>
              <w:right w:val="single" w:sz="4" w:space="0" w:color="000000"/>
            </w:tcBorders>
          </w:tcPr>
          <w:p w:rsidR="000E6FE6" w:rsidRDefault="00740C75" w:rsidP="005E7558">
            <w:pPr>
              <w:spacing w:before="60" w:after="60"/>
            </w:pPr>
            <w:r>
              <w:lastRenderedPageBreak/>
              <w:t>10</w:t>
            </w:r>
          </w:p>
        </w:tc>
        <w:tc>
          <w:tcPr>
            <w:tcW w:w="1154" w:type="pct"/>
            <w:tcBorders>
              <w:top w:val="single" w:sz="4" w:space="0" w:color="000000"/>
              <w:left w:val="single" w:sz="4" w:space="0" w:color="000000"/>
              <w:bottom w:val="single" w:sz="4" w:space="0" w:color="000000"/>
              <w:right w:val="single" w:sz="4" w:space="0" w:color="000000"/>
            </w:tcBorders>
          </w:tcPr>
          <w:p w:rsidR="000E6FE6" w:rsidRDefault="000E6FE6" w:rsidP="005E7558">
            <w:pPr>
              <w:spacing w:before="60" w:after="60"/>
            </w:pPr>
            <w:r>
              <w:t>Organisation has proper scheme of delegation and financial procedures setting out who has authority for what.</w:t>
            </w:r>
          </w:p>
        </w:tc>
        <w:tc>
          <w:tcPr>
            <w:tcW w:w="1715" w:type="pct"/>
            <w:tcBorders>
              <w:top w:val="single" w:sz="4" w:space="0" w:color="000000"/>
              <w:left w:val="single" w:sz="4" w:space="0" w:color="000000"/>
              <w:bottom w:val="single" w:sz="4" w:space="0" w:color="000000"/>
              <w:right w:val="single" w:sz="4" w:space="0" w:color="000000"/>
            </w:tcBorders>
          </w:tcPr>
          <w:p w:rsidR="000E6FE6" w:rsidRDefault="000E6FE6">
            <w:pPr>
              <w:ind w:right="43"/>
            </w:pPr>
            <w:r>
              <w:t>Annual review of terms of reference of committees and role descriptions of particular board members such as Chair and Treasurer. Annual review of signing and financial authority individual trustees and key staff members.</w:t>
            </w:r>
          </w:p>
        </w:tc>
        <w:tc>
          <w:tcPr>
            <w:tcW w:w="2008" w:type="pct"/>
            <w:tcBorders>
              <w:top w:val="single" w:sz="4" w:space="0" w:color="000000"/>
              <w:left w:val="single" w:sz="4" w:space="0" w:color="000000"/>
              <w:bottom w:val="single" w:sz="4" w:space="0" w:color="000000"/>
              <w:right w:val="single" w:sz="4" w:space="0" w:color="000000"/>
            </w:tcBorders>
          </w:tcPr>
          <w:p w:rsidR="009C761F" w:rsidRDefault="00515F45" w:rsidP="005E7558">
            <w:pPr>
              <w:spacing w:before="60" w:after="60"/>
              <w:ind w:right="43"/>
            </w:pPr>
            <w:hyperlink r:id="rId19" w:history="1">
              <w:r w:rsidR="0020602D">
                <w:rPr>
                  <w:rStyle w:val="Hyperlink"/>
                </w:rPr>
                <w:t>Delegation to committees and staff</w:t>
              </w:r>
            </w:hyperlink>
            <w:r w:rsidR="009C761F">
              <w:t xml:space="preserve"> </w:t>
            </w:r>
            <w:r w:rsidR="008D7436">
              <w:t>(NCVO guidance)</w:t>
            </w:r>
          </w:p>
          <w:p w:rsidR="000E6FE6" w:rsidRDefault="00515F45" w:rsidP="005E7558">
            <w:pPr>
              <w:spacing w:before="60" w:after="60"/>
              <w:ind w:right="43"/>
            </w:pPr>
            <w:hyperlink r:id="rId20" w:history="1">
              <w:r w:rsidR="0020602D">
                <w:rPr>
                  <w:rStyle w:val="Hyperlink"/>
                </w:rPr>
                <w:t>Financial procedures manual</w:t>
              </w:r>
            </w:hyperlink>
            <w:r w:rsidR="009C761F">
              <w:t xml:space="preserve"> </w:t>
            </w:r>
            <w:r w:rsidR="008D7436">
              <w:t>(NCVO guidance with member templates)</w:t>
            </w:r>
          </w:p>
        </w:tc>
      </w:tr>
      <w:tr w:rsidR="00DA4BEF" w:rsidTr="005E7ED9">
        <w:tc>
          <w:tcPr>
            <w:tcW w:w="123" w:type="pct"/>
            <w:tcBorders>
              <w:top w:val="single" w:sz="4" w:space="0" w:color="000000"/>
              <w:left w:val="single" w:sz="4" w:space="0" w:color="000000"/>
              <w:bottom w:val="single" w:sz="4" w:space="0" w:color="000000"/>
              <w:right w:val="single" w:sz="4" w:space="0" w:color="000000"/>
            </w:tcBorders>
          </w:tcPr>
          <w:p w:rsidR="00DA4BEF" w:rsidRDefault="00740C75" w:rsidP="00740C75">
            <w:pPr>
              <w:spacing w:before="60" w:after="60"/>
            </w:pPr>
            <w:r>
              <w:t>11</w:t>
            </w:r>
          </w:p>
        </w:tc>
        <w:tc>
          <w:tcPr>
            <w:tcW w:w="1154"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ind w:right="399"/>
              <w:jc w:val="both"/>
            </w:pPr>
            <w:r>
              <w:t>The organisation abides by its governing document in relation to admission / exclusion of members.</w:t>
            </w:r>
          </w:p>
        </w:tc>
        <w:tc>
          <w:tcPr>
            <w:tcW w:w="1715"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Company secretary or key board member or member of staff to monitor and report annually to board.</w:t>
            </w:r>
          </w:p>
          <w:p w:rsidR="00DA4BEF" w:rsidRDefault="00DA4BEF" w:rsidP="005E7558">
            <w:pPr>
              <w:spacing w:before="60" w:after="60"/>
            </w:pPr>
            <w:r>
              <w:t>Ensure that an accurate and up-to-date register of members is maintained.</w:t>
            </w:r>
          </w:p>
        </w:tc>
        <w:tc>
          <w:tcPr>
            <w:tcW w:w="2008"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p>
        </w:tc>
      </w:tr>
    </w:tbl>
    <w:tbl>
      <w:tblPr>
        <w:tblStyle w:val="TableGrid1"/>
        <w:tblW w:w="5000" w:type="pct"/>
        <w:tblInd w:w="0" w:type="dxa"/>
        <w:tblLayout w:type="fixed"/>
        <w:tblCellMar>
          <w:top w:w="7" w:type="dxa"/>
          <w:left w:w="108" w:type="dxa"/>
          <w:right w:w="50" w:type="dxa"/>
        </w:tblCellMar>
        <w:tblLook w:val="04A0" w:firstRow="1" w:lastRow="0" w:firstColumn="1" w:lastColumn="0" w:noHBand="0" w:noVBand="1"/>
      </w:tblPr>
      <w:tblGrid>
        <w:gridCol w:w="535"/>
        <w:gridCol w:w="3401"/>
        <w:gridCol w:w="5245"/>
        <w:gridCol w:w="6375"/>
      </w:tblGrid>
      <w:tr w:rsidR="00877579" w:rsidTr="005E7ED9">
        <w:tc>
          <w:tcPr>
            <w:tcW w:w="172" w:type="pct"/>
            <w:tcBorders>
              <w:top w:val="single" w:sz="4" w:space="0" w:color="000000"/>
              <w:left w:val="single" w:sz="4" w:space="0" w:color="000000"/>
              <w:bottom w:val="single" w:sz="4" w:space="0" w:color="000000"/>
              <w:right w:val="single" w:sz="4" w:space="0" w:color="000000"/>
            </w:tcBorders>
            <w:shd w:val="clear" w:color="auto" w:fill="BCBEB5"/>
          </w:tcPr>
          <w:p w:rsidR="00740C75" w:rsidRDefault="00740C75" w:rsidP="0066339F">
            <w:pPr>
              <w:spacing w:before="60" w:after="60"/>
            </w:pPr>
          </w:p>
        </w:tc>
        <w:tc>
          <w:tcPr>
            <w:tcW w:w="1093" w:type="pct"/>
            <w:tcBorders>
              <w:top w:val="single" w:sz="4" w:space="0" w:color="000000"/>
              <w:left w:val="single" w:sz="4" w:space="0" w:color="000000"/>
              <w:bottom w:val="single" w:sz="4" w:space="0" w:color="000000"/>
              <w:right w:val="single" w:sz="4" w:space="0" w:color="000000"/>
            </w:tcBorders>
            <w:shd w:val="clear" w:color="auto" w:fill="BCBEB5"/>
          </w:tcPr>
          <w:p w:rsidR="00740C75" w:rsidRPr="005E7ED9" w:rsidRDefault="00740C75" w:rsidP="005E7ED9">
            <w:pPr>
              <w:pStyle w:val="Heading3"/>
              <w:outlineLvl w:val="2"/>
            </w:pPr>
            <w:r w:rsidRPr="005E7ED9">
              <w:t>Key Regulators</w:t>
            </w:r>
          </w:p>
        </w:tc>
        <w:tc>
          <w:tcPr>
            <w:tcW w:w="1686" w:type="pct"/>
            <w:tcBorders>
              <w:top w:val="single" w:sz="4" w:space="0" w:color="000000"/>
              <w:left w:val="single" w:sz="4" w:space="0" w:color="000000"/>
              <w:bottom w:val="single" w:sz="4" w:space="0" w:color="000000"/>
              <w:right w:val="single" w:sz="4" w:space="0" w:color="000000"/>
            </w:tcBorders>
            <w:shd w:val="clear" w:color="auto" w:fill="BCBEB5"/>
          </w:tcPr>
          <w:p w:rsidR="00740C75" w:rsidRDefault="00740C75" w:rsidP="0066339F">
            <w:pPr>
              <w:spacing w:before="60" w:after="60"/>
              <w:ind w:right="27"/>
            </w:pPr>
          </w:p>
        </w:tc>
        <w:tc>
          <w:tcPr>
            <w:tcW w:w="2049" w:type="pct"/>
            <w:tcBorders>
              <w:top w:val="single" w:sz="4" w:space="0" w:color="000000"/>
              <w:left w:val="single" w:sz="4" w:space="0" w:color="000000"/>
              <w:bottom w:val="single" w:sz="4" w:space="0" w:color="000000"/>
              <w:right w:val="single" w:sz="4" w:space="0" w:color="000000"/>
            </w:tcBorders>
            <w:shd w:val="clear" w:color="auto" w:fill="BCBEB5"/>
          </w:tcPr>
          <w:p w:rsidR="00740C75" w:rsidRDefault="00740C75" w:rsidP="0066339F">
            <w:pPr>
              <w:spacing w:before="60" w:after="60"/>
              <w:ind w:right="27"/>
            </w:pPr>
          </w:p>
        </w:tc>
      </w:tr>
      <w:tr w:rsidR="00740C75" w:rsidTr="00A83557">
        <w:tc>
          <w:tcPr>
            <w:tcW w:w="172" w:type="pct"/>
            <w:tcBorders>
              <w:top w:val="single" w:sz="4" w:space="0" w:color="000000"/>
              <w:left w:val="single" w:sz="4" w:space="0" w:color="000000"/>
              <w:right w:val="single" w:sz="4" w:space="0" w:color="000000"/>
            </w:tcBorders>
          </w:tcPr>
          <w:p w:rsidR="00740C75" w:rsidRDefault="00740C75" w:rsidP="00740C75">
            <w:pPr>
              <w:spacing w:before="60" w:after="60"/>
            </w:pPr>
            <w:r>
              <w:t>12</w:t>
            </w:r>
          </w:p>
        </w:tc>
        <w:tc>
          <w:tcPr>
            <w:tcW w:w="1093" w:type="pct"/>
            <w:tcBorders>
              <w:top w:val="single" w:sz="4" w:space="0" w:color="000000"/>
              <w:left w:val="single" w:sz="4" w:space="0" w:color="000000"/>
              <w:right w:val="single" w:sz="4" w:space="0" w:color="000000"/>
            </w:tcBorders>
          </w:tcPr>
          <w:p w:rsidR="00740C75" w:rsidRDefault="00740C75" w:rsidP="0066339F">
            <w:pPr>
              <w:spacing w:before="60" w:after="60"/>
            </w:pPr>
            <w:r>
              <w:t xml:space="preserve">Annual returns / updates are sent to </w:t>
            </w:r>
            <w:r w:rsidR="00C5297F">
              <w:t xml:space="preserve">any relevant </w:t>
            </w:r>
            <w:r>
              <w:t xml:space="preserve">regulators such as Companies House, the Charity Commission, Office of the Sottish Charity Regulator, </w:t>
            </w:r>
            <w:proofErr w:type="gramStart"/>
            <w:r>
              <w:t>the</w:t>
            </w:r>
            <w:proofErr w:type="gramEnd"/>
            <w:r>
              <w:t xml:space="preserve"> Charity Commission for Northern Ireland within required timescales.</w:t>
            </w:r>
          </w:p>
        </w:tc>
        <w:tc>
          <w:tcPr>
            <w:tcW w:w="1686" w:type="pct"/>
            <w:tcBorders>
              <w:top w:val="single" w:sz="4" w:space="0" w:color="000000"/>
              <w:left w:val="single" w:sz="4" w:space="0" w:color="000000"/>
              <w:right w:val="single" w:sz="4" w:space="0" w:color="000000"/>
            </w:tcBorders>
          </w:tcPr>
          <w:p w:rsidR="00740C75" w:rsidRDefault="00740C75" w:rsidP="0066339F">
            <w:pPr>
              <w:spacing w:before="60" w:after="60"/>
              <w:ind w:right="27"/>
            </w:pPr>
            <w:r>
              <w:t xml:space="preserve">Produce </w:t>
            </w:r>
            <w:hyperlink r:id="rId21" w:history="1">
              <w:r w:rsidRPr="005E7ED9">
                <w:rPr>
                  <w:rStyle w:val="Hyperlink"/>
                </w:rPr>
                <w:t>organisational management calendar</w:t>
              </w:r>
            </w:hyperlink>
            <w:r>
              <w:t xml:space="preserve"> of key organisational management dates – use this one document to track multiple areas, </w:t>
            </w:r>
            <w:proofErr w:type="spellStart"/>
            <w:r>
              <w:t>eg</w:t>
            </w:r>
            <w:proofErr w:type="spellEnd"/>
            <w:r>
              <w:t xml:space="preserve"> AGM and notice deadline, insurances renewal, annual Health and Safety checks such as PAT testing, premises check, fire equipment checks, policy and procedure review dates,  Data Protection registration dates, Companies House and Charity Commission/OSCR/CCNI report and accounts deadlines, etc. Reports from delegated staff or trustees on key issues such as compliance with HR law, monitoring equality and diversity of the organisation and its activities.</w:t>
            </w:r>
          </w:p>
          <w:p w:rsidR="00740C75" w:rsidRDefault="00740C75" w:rsidP="0066339F">
            <w:pPr>
              <w:spacing w:before="60" w:after="60"/>
            </w:pPr>
            <w:r>
              <w:t xml:space="preserve">Analyse any upcoming deadlines in each board (or sub-committee) meeting and confirm action in each case.  This should be a quick check process not a detailed </w:t>
            </w:r>
            <w:r>
              <w:lastRenderedPageBreak/>
              <w:t>discussion.</w:t>
            </w:r>
          </w:p>
          <w:p w:rsidR="00740C75" w:rsidRDefault="00740C75" w:rsidP="0066339F">
            <w:pPr>
              <w:spacing w:before="60" w:after="60"/>
            </w:pPr>
            <w:r>
              <w:t>Upkeep of the calendar can be delegated to paid staff.</w:t>
            </w:r>
          </w:p>
        </w:tc>
        <w:tc>
          <w:tcPr>
            <w:tcW w:w="2049" w:type="pct"/>
            <w:tcBorders>
              <w:top w:val="single" w:sz="4" w:space="0" w:color="000000"/>
              <w:left w:val="single" w:sz="4" w:space="0" w:color="000000"/>
              <w:right w:val="single" w:sz="4" w:space="0" w:color="000000"/>
            </w:tcBorders>
          </w:tcPr>
          <w:p w:rsidR="00EE6925" w:rsidRDefault="008C2220" w:rsidP="0066339F">
            <w:pPr>
              <w:spacing w:before="60" w:after="60"/>
              <w:ind w:right="27"/>
            </w:pPr>
            <w:r>
              <w:lastRenderedPageBreak/>
              <w:t>Charity Commission for England and Wales</w:t>
            </w:r>
          </w:p>
          <w:p w:rsidR="00740C75" w:rsidRDefault="00515F45" w:rsidP="0066339F">
            <w:pPr>
              <w:spacing w:before="60" w:after="60"/>
              <w:ind w:right="27"/>
            </w:pPr>
            <w:hyperlink r:id="rId22" w:history="1">
              <w:r w:rsidR="00EE6925">
                <w:rPr>
                  <w:rStyle w:val="Hyperlink"/>
                </w:rPr>
                <w:t>Prepare a charity annual return</w:t>
              </w:r>
            </w:hyperlink>
            <w:r w:rsidR="008C2220">
              <w:t xml:space="preserve"> </w:t>
            </w:r>
          </w:p>
          <w:p w:rsidR="008C2220" w:rsidRDefault="00515F45" w:rsidP="0066339F">
            <w:pPr>
              <w:spacing w:before="60" w:after="60"/>
              <w:ind w:right="27"/>
            </w:pPr>
            <w:hyperlink r:id="rId23" w:history="1">
              <w:r w:rsidR="00EE6925">
                <w:rPr>
                  <w:rStyle w:val="Hyperlink"/>
                </w:rPr>
                <w:t>Change your charity's details</w:t>
              </w:r>
            </w:hyperlink>
            <w:r w:rsidR="008C2220">
              <w:t xml:space="preserve"> </w:t>
            </w:r>
          </w:p>
          <w:p w:rsidR="008C2220" w:rsidRDefault="008C2220" w:rsidP="0066339F">
            <w:pPr>
              <w:spacing w:before="60" w:after="60"/>
              <w:ind w:right="27"/>
            </w:pPr>
          </w:p>
          <w:p w:rsidR="008C2220" w:rsidRDefault="008C2220" w:rsidP="008C2220">
            <w:pPr>
              <w:spacing w:before="60" w:after="60"/>
              <w:ind w:right="27"/>
            </w:pPr>
            <w:r w:rsidRPr="008C2220">
              <w:t>Office of the Sottish Charity Regulator</w:t>
            </w:r>
          </w:p>
          <w:p w:rsidR="008C2220" w:rsidRDefault="00515F45" w:rsidP="008C2220">
            <w:pPr>
              <w:spacing w:before="60" w:after="60"/>
              <w:ind w:right="27"/>
            </w:pPr>
            <w:hyperlink r:id="rId24" w:history="1">
              <w:r w:rsidR="00EE6925">
                <w:rPr>
                  <w:rStyle w:val="Hyperlink"/>
                </w:rPr>
                <w:t>Online services</w:t>
              </w:r>
            </w:hyperlink>
            <w:r w:rsidR="008C2220">
              <w:t xml:space="preserve"> </w:t>
            </w:r>
          </w:p>
          <w:p w:rsidR="008C2220" w:rsidRDefault="008C2220" w:rsidP="008C2220">
            <w:pPr>
              <w:spacing w:before="60" w:after="60"/>
              <w:ind w:right="27"/>
            </w:pPr>
          </w:p>
          <w:p w:rsidR="00EE6925" w:rsidRDefault="008C2220" w:rsidP="008C2220">
            <w:pPr>
              <w:spacing w:before="60" w:after="60"/>
              <w:ind w:right="27"/>
            </w:pPr>
            <w:r w:rsidRPr="008C2220">
              <w:t>Charity Commission for Northern Ireland</w:t>
            </w:r>
          </w:p>
          <w:p w:rsidR="008C2220" w:rsidRDefault="00515F45" w:rsidP="008C2220">
            <w:pPr>
              <w:spacing w:before="60" w:after="60"/>
              <w:ind w:right="27"/>
            </w:pPr>
            <w:hyperlink r:id="rId25" w:history="1">
              <w:r w:rsidR="00EE6925">
                <w:rPr>
                  <w:rStyle w:val="Hyperlink"/>
                </w:rPr>
                <w:t>Update your charity's details</w:t>
              </w:r>
            </w:hyperlink>
          </w:p>
          <w:p w:rsidR="004E6FEE" w:rsidRDefault="004E6FEE" w:rsidP="008C2220">
            <w:pPr>
              <w:spacing w:before="60" w:after="60"/>
              <w:ind w:right="27"/>
            </w:pPr>
          </w:p>
          <w:p w:rsidR="008C2220" w:rsidRDefault="004E6FEE" w:rsidP="008C2220">
            <w:pPr>
              <w:spacing w:before="60" w:after="60"/>
              <w:ind w:right="27"/>
            </w:pPr>
            <w:r>
              <w:t>Companies House</w:t>
            </w:r>
          </w:p>
          <w:p w:rsidR="004E6FEE" w:rsidRDefault="00515F45" w:rsidP="008C2220">
            <w:pPr>
              <w:spacing w:before="60" w:after="60"/>
              <w:ind w:right="27"/>
            </w:pPr>
            <w:hyperlink r:id="rId26" w:history="1">
              <w:r w:rsidR="00EE6925">
                <w:rPr>
                  <w:rStyle w:val="Hyperlink"/>
                </w:rPr>
                <w:t>File an annual return</w:t>
              </w:r>
            </w:hyperlink>
          </w:p>
          <w:p w:rsidR="004E6FEE" w:rsidRDefault="00515F45" w:rsidP="008C2220">
            <w:pPr>
              <w:spacing w:before="60" w:after="60"/>
              <w:ind w:right="27"/>
            </w:pPr>
            <w:hyperlink r:id="rId27" w:history="1">
              <w:r w:rsidR="00EE6925">
                <w:rPr>
                  <w:rStyle w:val="Hyperlink"/>
                </w:rPr>
                <w:t>File changes to a company</w:t>
              </w:r>
            </w:hyperlink>
            <w:r w:rsidR="004E6FEE">
              <w:t xml:space="preserve"> </w:t>
            </w:r>
          </w:p>
        </w:tc>
      </w:tr>
      <w:tr w:rsidR="00740C75"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740C75" w:rsidRDefault="00224689" w:rsidP="00224689">
            <w:pPr>
              <w:spacing w:before="60" w:after="60"/>
            </w:pPr>
            <w:r>
              <w:lastRenderedPageBreak/>
              <w:t>13</w:t>
            </w:r>
          </w:p>
        </w:tc>
        <w:tc>
          <w:tcPr>
            <w:tcW w:w="1093" w:type="pct"/>
            <w:tcBorders>
              <w:top w:val="single" w:sz="4" w:space="0" w:color="000000"/>
              <w:left w:val="single" w:sz="4" w:space="0" w:color="000000"/>
              <w:bottom w:val="single" w:sz="4" w:space="0" w:color="000000"/>
              <w:right w:val="single" w:sz="4" w:space="0" w:color="000000"/>
            </w:tcBorders>
          </w:tcPr>
          <w:p w:rsidR="00740C75" w:rsidRDefault="00740C75" w:rsidP="0066339F">
            <w:pPr>
              <w:spacing w:before="60" w:after="60"/>
            </w:pPr>
            <w:r>
              <w:t>If a charity, reports and accounts to the Charity Commission, OSCR, CCNI are prepared in line with Statement of Recommended Practice (SORP) requirements and submitted within required timescales.  For charities above the income threshold of £500</w:t>
            </w:r>
            <w:r w:rsidR="00725F76">
              <w:t>,000</w:t>
            </w:r>
            <w:r>
              <w:t>, this includes a statement of management of risks, although it is good practice for all voluntary organisations to have a risk management system in place.</w:t>
            </w:r>
          </w:p>
        </w:tc>
        <w:tc>
          <w:tcPr>
            <w:tcW w:w="1686" w:type="pct"/>
            <w:tcBorders>
              <w:top w:val="single" w:sz="4" w:space="0" w:color="000000"/>
              <w:left w:val="single" w:sz="4" w:space="0" w:color="000000"/>
              <w:bottom w:val="single" w:sz="4" w:space="0" w:color="000000"/>
              <w:right w:val="single" w:sz="4" w:space="0" w:color="000000"/>
            </w:tcBorders>
          </w:tcPr>
          <w:p w:rsidR="00740C75" w:rsidRDefault="00740C75" w:rsidP="0066339F">
            <w:pPr>
              <w:spacing w:before="60" w:after="60"/>
            </w:pPr>
            <w:r>
              <w:t xml:space="preserve">Reminders of deadlines in the </w:t>
            </w:r>
            <w:hyperlink r:id="rId28" w:history="1">
              <w:r w:rsidRPr="005E7ED9">
                <w:rPr>
                  <w:rStyle w:val="Hyperlink"/>
                </w:rPr>
                <w:t>organisational management calendar</w:t>
              </w:r>
            </w:hyperlink>
            <w:r>
              <w:t xml:space="preserve"> (see 12 above). Treasurer or audit/finance committee/finance director to manage the production of the required reports and present to board meetings in good time to allow discussion.</w:t>
            </w:r>
          </w:p>
          <w:p w:rsidR="00740C75" w:rsidRPr="00544721" w:rsidRDefault="00740C75" w:rsidP="0066339F">
            <w:pPr>
              <w:spacing w:before="60" w:after="60"/>
            </w:pPr>
          </w:p>
        </w:tc>
        <w:tc>
          <w:tcPr>
            <w:tcW w:w="2049" w:type="pct"/>
            <w:tcBorders>
              <w:top w:val="single" w:sz="4" w:space="0" w:color="000000"/>
              <w:left w:val="single" w:sz="4" w:space="0" w:color="000000"/>
              <w:bottom w:val="single" w:sz="4" w:space="0" w:color="000000"/>
              <w:right w:val="single" w:sz="4" w:space="0" w:color="000000"/>
            </w:tcBorders>
          </w:tcPr>
          <w:p w:rsidR="00740C75" w:rsidRDefault="00515F45" w:rsidP="0066339F">
            <w:pPr>
              <w:spacing w:before="60" w:after="60"/>
            </w:pPr>
            <w:hyperlink r:id="rId29" w:history="1">
              <w:r w:rsidR="00EE6925">
                <w:rPr>
                  <w:rStyle w:val="Hyperlink"/>
                </w:rPr>
                <w:t>Charities SORP</w:t>
              </w:r>
            </w:hyperlink>
            <w:r w:rsidR="00FC3A77">
              <w:t xml:space="preserve"> </w:t>
            </w:r>
            <w:r w:rsidR="008D7436">
              <w:t>(guidance)</w:t>
            </w:r>
          </w:p>
        </w:tc>
      </w:tr>
      <w:tr w:rsidR="00740C75"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740C75" w:rsidRDefault="00224689" w:rsidP="00224689">
            <w:pPr>
              <w:spacing w:before="60" w:after="60"/>
            </w:pPr>
            <w:r>
              <w:t>14</w:t>
            </w:r>
          </w:p>
        </w:tc>
        <w:tc>
          <w:tcPr>
            <w:tcW w:w="1093" w:type="pct"/>
            <w:tcBorders>
              <w:top w:val="single" w:sz="4" w:space="0" w:color="000000"/>
              <w:left w:val="single" w:sz="4" w:space="0" w:color="000000"/>
              <w:bottom w:val="single" w:sz="4" w:space="0" w:color="000000"/>
              <w:right w:val="single" w:sz="4" w:space="0" w:color="000000"/>
            </w:tcBorders>
          </w:tcPr>
          <w:p w:rsidR="00740C75" w:rsidRDefault="00740C75" w:rsidP="0066339F">
            <w:pPr>
              <w:spacing w:before="60" w:after="60"/>
              <w:ind w:right="11"/>
            </w:pPr>
            <w:r>
              <w:t>Accounts are audited or independently examined (if required dependent on income).</w:t>
            </w:r>
          </w:p>
        </w:tc>
        <w:tc>
          <w:tcPr>
            <w:tcW w:w="1686" w:type="pct"/>
            <w:tcBorders>
              <w:top w:val="single" w:sz="4" w:space="0" w:color="000000"/>
              <w:left w:val="single" w:sz="4" w:space="0" w:color="000000"/>
              <w:bottom w:val="single" w:sz="4" w:space="0" w:color="000000"/>
              <w:right w:val="single" w:sz="4" w:space="0" w:color="000000"/>
            </w:tcBorders>
          </w:tcPr>
          <w:p w:rsidR="00740C75" w:rsidRDefault="00740C75" w:rsidP="00740C75">
            <w:pPr>
              <w:spacing w:before="60" w:after="60"/>
            </w:pPr>
            <w:r>
              <w:t>Board formally appoints auditors or examiners and receives audited or examined accounts – add to key organizational management calendar dates (see 12 above).</w:t>
            </w:r>
          </w:p>
        </w:tc>
        <w:tc>
          <w:tcPr>
            <w:tcW w:w="2049" w:type="pct"/>
            <w:tcBorders>
              <w:top w:val="single" w:sz="4" w:space="0" w:color="000000"/>
              <w:left w:val="single" w:sz="4" w:space="0" w:color="000000"/>
              <w:bottom w:val="single" w:sz="4" w:space="0" w:color="000000"/>
              <w:right w:val="single" w:sz="4" w:space="0" w:color="000000"/>
            </w:tcBorders>
          </w:tcPr>
          <w:p w:rsidR="00740C75" w:rsidRDefault="00515F45" w:rsidP="0066339F">
            <w:pPr>
              <w:spacing w:before="60" w:after="60"/>
            </w:pPr>
            <w:hyperlink r:id="rId30" w:history="1">
              <w:r w:rsidR="00343E5B">
                <w:rPr>
                  <w:rStyle w:val="Hyperlink"/>
                </w:rPr>
                <w:t>Choice between audit and independent examination</w:t>
              </w:r>
            </w:hyperlink>
            <w:r w:rsidR="00FC3A77">
              <w:t xml:space="preserve"> </w:t>
            </w:r>
            <w:r w:rsidR="008D7436">
              <w:t>(Institute of Charted Accountants guidance)</w:t>
            </w:r>
          </w:p>
        </w:tc>
      </w:tr>
      <w:tr w:rsidR="00740C75"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740C75" w:rsidRDefault="00224689" w:rsidP="0066339F">
            <w:pPr>
              <w:spacing w:before="60" w:after="60"/>
            </w:pPr>
            <w:r>
              <w:t>15</w:t>
            </w:r>
          </w:p>
        </w:tc>
        <w:tc>
          <w:tcPr>
            <w:tcW w:w="1093" w:type="pct"/>
            <w:tcBorders>
              <w:top w:val="single" w:sz="4" w:space="0" w:color="000000"/>
              <w:left w:val="single" w:sz="4" w:space="0" w:color="000000"/>
              <w:bottom w:val="single" w:sz="4" w:space="0" w:color="000000"/>
              <w:right w:val="single" w:sz="4" w:space="0" w:color="000000"/>
            </w:tcBorders>
          </w:tcPr>
          <w:p w:rsidR="00740C75" w:rsidRDefault="00740C75" w:rsidP="0066339F">
            <w:pPr>
              <w:spacing w:before="60" w:after="60"/>
            </w:pPr>
            <w:r>
              <w:t>The organisation complies with electoral law in relation to local and national elections and referendums, and, if a charity, complies with the law on political activities and campaigning.</w:t>
            </w:r>
          </w:p>
        </w:tc>
        <w:tc>
          <w:tcPr>
            <w:tcW w:w="1686" w:type="pct"/>
            <w:tcBorders>
              <w:top w:val="single" w:sz="4" w:space="0" w:color="000000"/>
              <w:left w:val="single" w:sz="4" w:space="0" w:color="000000"/>
              <w:bottom w:val="single" w:sz="4" w:space="0" w:color="000000"/>
              <w:right w:val="single" w:sz="4" w:space="0" w:color="000000"/>
            </w:tcBorders>
          </w:tcPr>
          <w:p w:rsidR="00740C75" w:rsidRDefault="00740C75" w:rsidP="0066339F">
            <w:pPr>
              <w:spacing w:before="60" w:after="60"/>
              <w:ind w:right="10"/>
            </w:pPr>
            <w:r>
              <w:t>This could be the responsibility of a board member or a member of staff responsible for communications.</w:t>
            </w:r>
          </w:p>
        </w:tc>
        <w:tc>
          <w:tcPr>
            <w:tcW w:w="2049" w:type="pct"/>
            <w:tcBorders>
              <w:top w:val="single" w:sz="4" w:space="0" w:color="000000"/>
              <w:left w:val="single" w:sz="4" w:space="0" w:color="000000"/>
              <w:bottom w:val="single" w:sz="4" w:space="0" w:color="000000"/>
              <w:right w:val="single" w:sz="4" w:space="0" w:color="000000"/>
            </w:tcBorders>
          </w:tcPr>
          <w:p w:rsidR="00740C75" w:rsidRDefault="00740C75" w:rsidP="0066339F">
            <w:pPr>
              <w:spacing w:before="60" w:after="60"/>
              <w:ind w:right="10"/>
            </w:pPr>
            <w:r>
              <w:t xml:space="preserve">[A </w:t>
            </w:r>
            <w:hyperlink r:id="rId31" w:history="1">
              <w:r w:rsidRPr="008D7436">
                <w:rPr>
                  <w:rStyle w:val="Hyperlink"/>
                </w:rPr>
                <w:t>Get Legal</w:t>
              </w:r>
            </w:hyperlink>
            <w:r>
              <w:t xml:space="preserve"> document on this will be available soon.]</w:t>
            </w:r>
          </w:p>
          <w:p w:rsidR="007731E2" w:rsidRDefault="00515F45" w:rsidP="0066339F">
            <w:pPr>
              <w:spacing w:before="60" w:after="60"/>
              <w:ind w:right="10"/>
            </w:pPr>
            <w:hyperlink r:id="rId32" w:history="1">
              <w:r w:rsidR="00343E5B">
                <w:rPr>
                  <w:rStyle w:val="Hyperlink"/>
                </w:rPr>
                <w:t>Introduction to non-party campaigning for charities</w:t>
              </w:r>
            </w:hyperlink>
            <w:r w:rsidR="00443CEF">
              <w:t xml:space="preserve"> </w:t>
            </w:r>
            <w:r w:rsidR="008D7436">
              <w:t>(Electoral Commission guidance)</w:t>
            </w:r>
          </w:p>
        </w:tc>
      </w:tr>
      <w:tr w:rsidR="00740C75"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740C75" w:rsidRDefault="00224689" w:rsidP="0066339F">
            <w:pPr>
              <w:spacing w:before="60" w:after="60"/>
            </w:pPr>
            <w:r>
              <w:t>16</w:t>
            </w:r>
          </w:p>
        </w:tc>
        <w:tc>
          <w:tcPr>
            <w:tcW w:w="1093" w:type="pct"/>
            <w:tcBorders>
              <w:top w:val="single" w:sz="4" w:space="0" w:color="000000"/>
              <w:left w:val="single" w:sz="4" w:space="0" w:color="000000"/>
              <w:bottom w:val="single" w:sz="4" w:space="0" w:color="000000"/>
              <w:right w:val="single" w:sz="4" w:space="0" w:color="000000"/>
            </w:tcBorders>
          </w:tcPr>
          <w:p w:rsidR="00740C75" w:rsidRDefault="00740C75" w:rsidP="0066339F">
            <w:pPr>
              <w:spacing w:before="60" w:after="60"/>
            </w:pPr>
            <w:r>
              <w:t>The organisation complies with fundraising law and regulation and ensures the tax implications have been properly addressed.</w:t>
            </w:r>
          </w:p>
        </w:tc>
        <w:tc>
          <w:tcPr>
            <w:tcW w:w="1686" w:type="pct"/>
            <w:tcBorders>
              <w:top w:val="single" w:sz="4" w:space="0" w:color="000000"/>
              <w:left w:val="single" w:sz="4" w:space="0" w:color="000000"/>
              <w:bottom w:val="single" w:sz="4" w:space="0" w:color="000000"/>
              <w:right w:val="single" w:sz="4" w:space="0" w:color="000000"/>
            </w:tcBorders>
          </w:tcPr>
          <w:p w:rsidR="00740C75" w:rsidRDefault="00740C75">
            <w:pPr>
              <w:spacing w:before="60" w:after="60"/>
            </w:pPr>
            <w:r>
              <w:t xml:space="preserve">Delegated to committee or staff member. Board to approve annually fundraising policy, including methods to be used. Treasurer or finance director reports on tax implications. At planning stage, delegated staff (or lead </w:t>
            </w:r>
            <w:r>
              <w:lastRenderedPageBreak/>
              <w:t>board member) to check requirements for any relevant fundraising activity in Charity Commission Document CC20 Charities and Fundraising. When reporting on fundraising activities, confirm to the board the measures taken to ensure compliance.</w:t>
            </w:r>
          </w:p>
        </w:tc>
        <w:tc>
          <w:tcPr>
            <w:tcW w:w="2049" w:type="pct"/>
            <w:tcBorders>
              <w:top w:val="single" w:sz="4" w:space="0" w:color="000000"/>
              <w:left w:val="single" w:sz="4" w:space="0" w:color="000000"/>
              <w:bottom w:val="single" w:sz="4" w:space="0" w:color="000000"/>
              <w:right w:val="single" w:sz="4" w:space="0" w:color="000000"/>
            </w:tcBorders>
          </w:tcPr>
          <w:p w:rsidR="007731E2" w:rsidRPr="008D7436" w:rsidRDefault="00515F45" w:rsidP="0066339F">
            <w:pPr>
              <w:spacing w:before="60" w:after="60"/>
            </w:pPr>
            <w:hyperlink r:id="rId33" w:history="1">
              <w:r w:rsidR="00343E5B">
                <w:rPr>
                  <w:rStyle w:val="Hyperlink"/>
                </w:rPr>
                <w:t>Charity fundraising: A guide to trustee duties</w:t>
              </w:r>
            </w:hyperlink>
            <w:r w:rsidR="008D7436" w:rsidRPr="005E7ED9">
              <w:rPr>
                <w:rStyle w:val="Hyperlink"/>
                <w:color w:val="auto"/>
                <w:u w:val="none"/>
              </w:rPr>
              <w:t xml:space="preserve"> (Charity Commission guidance)</w:t>
            </w:r>
          </w:p>
          <w:p w:rsidR="00343E5B" w:rsidRDefault="00515F45" w:rsidP="0066339F">
            <w:pPr>
              <w:spacing w:before="60" w:after="60"/>
            </w:pPr>
            <w:hyperlink r:id="rId34" w:history="1">
              <w:r w:rsidR="00343E5B" w:rsidRPr="00343E5B">
                <w:rPr>
                  <w:rStyle w:val="Hyperlink"/>
                </w:rPr>
                <w:t>Charities and tax</w:t>
              </w:r>
            </w:hyperlink>
            <w:r w:rsidR="008D7436">
              <w:t xml:space="preserve"> (HMRC guidance)</w:t>
            </w:r>
          </w:p>
          <w:p w:rsidR="00C54C29" w:rsidRDefault="00515F45" w:rsidP="0066339F">
            <w:pPr>
              <w:spacing w:before="60" w:after="60"/>
            </w:pPr>
            <w:hyperlink r:id="rId35" w:history="1">
              <w:r w:rsidR="00806856" w:rsidRPr="00806856">
                <w:rPr>
                  <w:rStyle w:val="Hyperlink"/>
                </w:rPr>
                <w:t>Charity Tax Group</w:t>
              </w:r>
            </w:hyperlink>
            <w:r w:rsidR="007731E2">
              <w:t xml:space="preserve"> </w:t>
            </w:r>
            <w:r w:rsidR="008D7436">
              <w:t>(guidance on various taxes)</w:t>
            </w:r>
          </w:p>
          <w:p w:rsidR="00740C75" w:rsidRDefault="00515F45" w:rsidP="0066339F">
            <w:pPr>
              <w:spacing w:before="60" w:after="60"/>
            </w:pPr>
            <w:hyperlink r:id="rId36" w:history="1">
              <w:r w:rsidR="00806856">
                <w:rPr>
                  <w:rStyle w:val="Hyperlink"/>
                </w:rPr>
                <w:t>Fundraising essentials and legislation</w:t>
              </w:r>
            </w:hyperlink>
            <w:r w:rsidR="001A20BE">
              <w:t xml:space="preserve"> </w:t>
            </w:r>
            <w:r w:rsidR="008D7436">
              <w:t>(guidance)</w:t>
            </w:r>
          </w:p>
        </w:tc>
      </w:tr>
    </w:tbl>
    <w:tbl>
      <w:tblPr>
        <w:tblStyle w:val="TableGrid"/>
        <w:tblW w:w="5000" w:type="pct"/>
        <w:tblInd w:w="0" w:type="dxa"/>
        <w:tblLayout w:type="fixed"/>
        <w:tblCellMar>
          <w:top w:w="7" w:type="dxa"/>
          <w:left w:w="108" w:type="dxa"/>
          <w:right w:w="50" w:type="dxa"/>
        </w:tblCellMar>
        <w:tblLook w:val="04A0" w:firstRow="1" w:lastRow="0" w:firstColumn="1" w:lastColumn="0" w:noHBand="0" w:noVBand="1"/>
      </w:tblPr>
      <w:tblGrid>
        <w:gridCol w:w="535"/>
        <w:gridCol w:w="3401"/>
        <w:gridCol w:w="5245"/>
        <w:gridCol w:w="6375"/>
      </w:tblGrid>
      <w:tr w:rsidR="00224689" w:rsidTr="005E7ED9">
        <w:tc>
          <w:tcPr>
            <w:tcW w:w="172" w:type="pct"/>
            <w:tcBorders>
              <w:top w:val="single" w:sz="4" w:space="0" w:color="000000"/>
              <w:left w:val="single" w:sz="4" w:space="0" w:color="000000"/>
              <w:bottom w:val="single" w:sz="4" w:space="0" w:color="000000"/>
              <w:right w:val="single" w:sz="4" w:space="0" w:color="000000"/>
            </w:tcBorders>
            <w:shd w:val="clear" w:color="auto" w:fill="BCBEB5"/>
          </w:tcPr>
          <w:p w:rsidR="00674BE8" w:rsidRPr="005E7ED9" w:rsidRDefault="00674BE8" w:rsidP="000024FD">
            <w:pPr>
              <w:spacing w:before="60" w:after="60"/>
              <w:rPr>
                <w:color w:val="BCBEB5"/>
              </w:rPr>
            </w:pPr>
          </w:p>
        </w:tc>
        <w:tc>
          <w:tcPr>
            <w:tcW w:w="1093" w:type="pct"/>
            <w:tcBorders>
              <w:top w:val="single" w:sz="4" w:space="0" w:color="000000"/>
              <w:left w:val="single" w:sz="4" w:space="0" w:color="000000"/>
              <w:bottom w:val="single" w:sz="4" w:space="0" w:color="000000"/>
              <w:right w:val="single" w:sz="4" w:space="0" w:color="000000"/>
            </w:tcBorders>
            <w:shd w:val="clear" w:color="auto" w:fill="BCBEB5"/>
          </w:tcPr>
          <w:p w:rsidR="00674BE8" w:rsidRPr="005E7ED9" w:rsidRDefault="00674BE8" w:rsidP="005E7ED9">
            <w:pPr>
              <w:pStyle w:val="Heading3"/>
              <w:outlineLvl w:val="2"/>
            </w:pPr>
            <w:r w:rsidRPr="005E7ED9">
              <w:t>Operations</w:t>
            </w:r>
          </w:p>
        </w:tc>
        <w:tc>
          <w:tcPr>
            <w:tcW w:w="1686" w:type="pct"/>
            <w:tcBorders>
              <w:top w:val="single" w:sz="4" w:space="0" w:color="000000"/>
              <w:left w:val="single" w:sz="4" w:space="0" w:color="000000"/>
              <w:bottom w:val="single" w:sz="4" w:space="0" w:color="000000"/>
              <w:right w:val="single" w:sz="4" w:space="0" w:color="000000"/>
            </w:tcBorders>
            <w:shd w:val="clear" w:color="auto" w:fill="BCBEB5"/>
          </w:tcPr>
          <w:p w:rsidR="00674BE8" w:rsidRPr="005E7ED9" w:rsidRDefault="00674BE8" w:rsidP="000024FD">
            <w:pPr>
              <w:spacing w:before="60" w:after="60"/>
              <w:rPr>
                <w:color w:val="BCBEB5"/>
              </w:rPr>
            </w:pPr>
          </w:p>
        </w:tc>
        <w:tc>
          <w:tcPr>
            <w:tcW w:w="2049" w:type="pct"/>
            <w:tcBorders>
              <w:top w:val="single" w:sz="4" w:space="0" w:color="000000"/>
              <w:left w:val="single" w:sz="4" w:space="0" w:color="000000"/>
              <w:bottom w:val="single" w:sz="4" w:space="0" w:color="000000"/>
              <w:right w:val="single" w:sz="4" w:space="0" w:color="000000"/>
            </w:tcBorders>
            <w:shd w:val="clear" w:color="auto" w:fill="BCBEB5"/>
          </w:tcPr>
          <w:p w:rsidR="00674BE8" w:rsidRPr="005E7ED9" w:rsidRDefault="00674BE8" w:rsidP="000024FD">
            <w:pPr>
              <w:spacing w:before="60" w:after="60"/>
              <w:rPr>
                <w:color w:val="BCBEB5"/>
              </w:rPr>
            </w:pPr>
          </w:p>
        </w:tc>
      </w:tr>
      <w:tr w:rsidR="00224689" w:rsidTr="00A83557">
        <w:tc>
          <w:tcPr>
            <w:tcW w:w="172" w:type="pct"/>
            <w:tcBorders>
              <w:top w:val="single" w:sz="4" w:space="0" w:color="000000"/>
              <w:left w:val="single" w:sz="4" w:space="0" w:color="000000"/>
              <w:bottom w:val="single" w:sz="4" w:space="0" w:color="000000"/>
              <w:right w:val="single" w:sz="4" w:space="0" w:color="000000"/>
            </w:tcBorders>
          </w:tcPr>
          <w:p w:rsidR="001476C8" w:rsidRDefault="00224689" w:rsidP="000024FD">
            <w:pPr>
              <w:spacing w:before="60" w:after="60"/>
            </w:pPr>
            <w:r>
              <w:t>1</w:t>
            </w:r>
            <w:r w:rsidR="00A038D2">
              <w:t>7</w:t>
            </w:r>
          </w:p>
        </w:tc>
        <w:tc>
          <w:tcPr>
            <w:tcW w:w="1093" w:type="pct"/>
            <w:tcBorders>
              <w:top w:val="single" w:sz="4" w:space="0" w:color="000000"/>
              <w:left w:val="single" w:sz="4" w:space="0" w:color="000000"/>
              <w:bottom w:val="single" w:sz="4" w:space="0" w:color="000000"/>
              <w:right w:val="single" w:sz="4" w:space="0" w:color="000000"/>
            </w:tcBorders>
          </w:tcPr>
          <w:p w:rsidR="001476C8" w:rsidRDefault="001476C8" w:rsidP="000024FD">
            <w:pPr>
              <w:spacing w:before="60" w:after="60"/>
            </w:pPr>
            <w:r>
              <w:t>The organisation’s activities and spending are in l</w:t>
            </w:r>
            <w:r w:rsidR="00D673DD">
              <w:t>ine with the governing document</w:t>
            </w:r>
            <w:r w:rsidR="00A038D2">
              <w:t xml:space="preserve"> and (in the case of charities) are undertaken in accordance with the public benefit requirement.</w:t>
            </w:r>
          </w:p>
        </w:tc>
        <w:tc>
          <w:tcPr>
            <w:tcW w:w="1686" w:type="pct"/>
            <w:tcBorders>
              <w:top w:val="single" w:sz="4" w:space="0" w:color="000000"/>
              <w:left w:val="single" w:sz="4" w:space="0" w:color="000000"/>
              <w:bottom w:val="single" w:sz="4" w:space="0" w:color="000000"/>
              <w:right w:val="single" w:sz="4" w:space="0" w:color="000000"/>
            </w:tcBorders>
          </w:tcPr>
          <w:p w:rsidR="001476C8" w:rsidRDefault="001476C8" w:rsidP="000024FD">
            <w:pPr>
              <w:spacing w:before="60" w:after="60"/>
            </w:pPr>
            <w:r>
              <w:t xml:space="preserve">Consider including a sentence in the introduction to any treasurers’ reports reminding </w:t>
            </w:r>
            <w:r w:rsidR="00AF2B25">
              <w:t>board</w:t>
            </w:r>
            <w:r w:rsidR="00A038D2">
              <w:t xml:space="preserve"> members</w:t>
            </w:r>
            <w:r>
              <w:t xml:space="preserve"> that when considering the budget, it is their duty to ensure that all spending is in line with the governing document</w:t>
            </w:r>
            <w:r w:rsidR="00A038D2">
              <w:t xml:space="preserve"> and all activities must be intended to further the organisation’s purposes set out in the governing document and, in the case of charities, in accordance with the public benefit requir</w:t>
            </w:r>
            <w:r w:rsidR="007E6961">
              <w:t>e</w:t>
            </w:r>
            <w:r w:rsidR="00A038D2">
              <w:t>ment</w:t>
            </w:r>
            <w:r w:rsidR="00D673DD">
              <w:t xml:space="preserve">.  </w:t>
            </w:r>
            <w:r>
              <w:t>Alternatively</w:t>
            </w:r>
            <w:r w:rsidR="007E6961">
              <w:t xml:space="preserve"> </w:t>
            </w:r>
            <w:r>
              <w:t>- treasurer simply mentions this when papers are presented</w:t>
            </w:r>
            <w:r w:rsidR="00D673DD">
              <w:t xml:space="preserve">. </w:t>
            </w:r>
          </w:p>
        </w:tc>
        <w:tc>
          <w:tcPr>
            <w:tcW w:w="2049" w:type="pct"/>
            <w:tcBorders>
              <w:top w:val="single" w:sz="4" w:space="0" w:color="000000"/>
              <w:left w:val="single" w:sz="4" w:space="0" w:color="000000"/>
              <w:bottom w:val="single" w:sz="4" w:space="0" w:color="000000"/>
              <w:right w:val="single" w:sz="4" w:space="0" w:color="000000"/>
            </w:tcBorders>
          </w:tcPr>
          <w:p w:rsidR="001476C8" w:rsidRDefault="00515F45" w:rsidP="000024FD">
            <w:pPr>
              <w:spacing w:before="60" w:after="60"/>
            </w:pPr>
            <w:hyperlink r:id="rId37" w:history="1">
              <w:r w:rsidR="00C732E9">
                <w:rPr>
                  <w:rStyle w:val="Hyperlink"/>
                </w:rPr>
                <w:t>Public benefit: Rules for charities</w:t>
              </w:r>
            </w:hyperlink>
            <w:r w:rsidR="00FC3A77">
              <w:t xml:space="preserve"> </w:t>
            </w:r>
            <w:r w:rsidR="008D7436">
              <w:t>(Charity Commission guidance)</w:t>
            </w:r>
          </w:p>
        </w:tc>
      </w:tr>
      <w:tr w:rsidR="00224689"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DA4BEF" w:rsidRDefault="00DA4BEF" w:rsidP="00877579">
            <w:pPr>
              <w:spacing w:before="60" w:after="60"/>
            </w:pPr>
            <w:r>
              <w:t>1</w:t>
            </w:r>
            <w:r w:rsidR="00877579">
              <w:t>8</w:t>
            </w:r>
          </w:p>
        </w:tc>
        <w:tc>
          <w:tcPr>
            <w:tcW w:w="1093"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 xml:space="preserve">The organisation abides by Health and Safety law (including PAT testing, PUWER, Manual Handling, </w:t>
            </w:r>
            <w:proofErr w:type="gramStart"/>
            <w:r>
              <w:t>COSHH</w:t>
            </w:r>
            <w:proofErr w:type="gramEnd"/>
            <w:r>
              <w:t>).</w:t>
            </w:r>
          </w:p>
        </w:tc>
        <w:tc>
          <w:tcPr>
            <w:tcW w:w="1686" w:type="pct"/>
            <w:tcBorders>
              <w:top w:val="single" w:sz="4" w:space="0" w:color="000000"/>
              <w:left w:val="single" w:sz="4" w:space="0" w:color="000000"/>
              <w:bottom w:val="single" w:sz="4" w:space="0" w:color="000000"/>
              <w:right w:val="single" w:sz="4" w:space="0" w:color="000000"/>
            </w:tcBorders>
          </w:tcPr>
          <w:p w:rsidR="00DA4BEF" w:rsidRDefault="00DA4BEF" w:rsidP="00224689">
            <w:pPr>
              <w:spacing w:before="60" w:after="60"/>
              <w:ind w:right="40"/>
            </w:pPr>
            <w:r>
              <w:t xml:space="preserve">Board members should approve all policies and procedures to satisfy themselves that processes are in place.  A health and safety checklist could be kept by the Health and Safety Officer used to aid an annual report back to the board confirming that all necessary checks are taking place (annual checks in organisational management calendar see </w:t>
            </w:r>
            <w:r w:rsidR="00224689">
              <w:t xml:space="preserve">12 </w:t>
            </w:r>
            <w:r>
              <w:t>above).  Annual report from Health and Safety lead / officer to board or subcommittee showing how the policy has been followed.  This would include having available key documents such as the accident log book and discussing any resultant changes to practices, log confirming weekly testing of fire alarms (</w:t>
            </w:r>
            <w:proofErr w:type="spellStart"/>
            <w:r>
              <w:t>eg</w:t>
            </w:r>
            <w:proofErr w:type="spellEnd"/>
            <w:r>
              <w:t>. tick sheet for weekly fire alarm tests, VDU checks for staff, initial training and reminders provided for staff and volunteers, etc.).</w:t>
            </w:r>
          </w:p>
        </w:tc>
        <w:tc>
          <w:tcPr>
            <w:tcW w:w="2049" w:type="pct"/>
            <w:tcBorders>
              <w:top w:val="single" w:sz="4" w:space="0" w:color="000000"/>
              <w:left w:val="single" w:sz="4" w:space="0" w:color="000000"/>
              <w:bottom w:val="single" w:sz="4" w:space="0" w:color="000000"/>
              <w:right w:val="single" w:sz="4" w:space="0" w:color="000000"/>
            </w:tcBorders>
          </w:tcPr>
          <w:p w:rsidR="00DA4BEF" w:rsidRDefault="00515F45" w:rsidP="005E7558">
            <w:pPr>
              <w:spacing w:before="60" w:after="60"/>
              <w:ind w:right="39"/>
            </w:pPr>
            <w:hyperlink r:id="rId38" w:history="1">
              <w:r w:rsidR="00C732E9">
                <w:rPr>
                  <w:rStyle w:val="Hyperlink"/>
                </w:rPr>
                <w:t>HR and employment law: Health and safety</w:t>
              </w:r>
            </w:hyperlink>
            <w:r w:rsidR="009C761F">
              <w:t xml:space="preserve"> </w:t>
            </w:r>
            <w:r w:rsidR="008D7436">
              <w:t>(NCVO guidance)</w:t>
            </w:r>
          </w:p>
          <w:p w:rsidR="009C761F" w:rsidRDefault="009C761F" w:rsidP="005E7558">
            <w:pPr>
              <w:spacing w:before="60" w:after="60"/>
              <w:ind w:right="39"/>
            </w:pPr>
          </w:p>
          <w:p w:rsidR="009C761F" w:rsidRDefault="00515F45" w:rsidP="005E7558">
            <w:pPr>
              <w:spacing w:before="60" w:after="60"/>
              <w:ind w:right="39"/>
            </w:pPr>
            <w:hyperlink r:id="rId39" w:history="1">
              <w:r w:rsidR="00C732E9">
                <w:rPr>
                  <w:rStyle w:val="Hyperlink"/>
                </w:rPr>
                <w:t>Health and safety policy</w:t>
              </w:r>
            </w:hyperlink>
            <w:r w:rsidR="00FC3A77">
              <w:t xml:space="preserve"> </w:t>
            </w:r>
            <w:r w:rsidR="008D7436">
              <w:t>(customised document £)</w:t>
            </w:r>
          </w:p>
        </w:tc>
      </w:tr>
      <w:tr w:rsidR="00224689"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DA4BEF" w:rsidRDefault="00DA4BEF" w:rsidP="00877579">
            <w:pPr>
              <w:spacing w:before="60" w:after="60"/>
            </w:pPr>
            <w:r>
              <w:lastRenderedPageBreak/>
              <w:t>1</w:t>
            </w:r>
            <w:r w:rsidR="00877579">
              <w:t>9</w:t>
            </w:r>
          </w:p>
        </w:tc>
        <w:tc>
          <w:tcPr>
            <w:tcW w:w="1093"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The organisation carries out risk assessment of its activities and premises used (written risk assessments are required if over 5 employees).</w:t>
            </w:r>
          </w:p>
        </w:tc>
        <w:tc>
          <w:tcPr>
            <w:tcW w:w="1686"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ind w:right="43"/>
            </w:pPr>
            <w:r>
              <w:t>Include in overall risk register. In Health and Safety Officer report to board (see 17 above), confirmation that risk assessments have been made and have available the written risk assessments.  Some organisations use an external specialist consultant to check processes.</w:t>
            </w:r>
          </w:p>
          <w:p w:rsidR="00DA4BEF" w:rsidRDefault="00DA4BEF" w:rsidP="005E7558">
            <w:pPr>
              <w:spacing w:before="60" w:after="60"/>
              <w:ind w:right="43"/>
            </w:pPr>
            <w:r>
              <w:t>The organisation should maintain a risk register, which should be regularly reviewed by the board and used to inform appropriate risk mitigation strategies and actions.</w:t>
            </w:r>
          </w:p>
        </w:tc>
        <w:tc>
          <w:tcPr>
            <w:tcW w:w="2049" w:type="pct"/>
            <w:tcBorders>
              <w:top w:val="single" w:sz="4" w:space="0" w:color="000000"/>
              <w:left w:val="single" w:sz="4" w:space="0" w:color="000000"/>
              <w:bottom w:val="single" w:sz="4" w:space="0" w:color="000000"/>
              <w:right w:val="single" w:sz="4" w:space="0" w:color="000000"/>
            </w:tcBorders>
          </w:tcPr>
          <w:p w:rsidR="00DA4BEF" w:rsidRDefault="00515F45" w:rsidP="005E7558">
            <w:pPr>
              <w:spacing w:before="60" w:after="60"/>
              <w:ind w:right="43"/>
            </w:pPr>
            <w:hyperlink r:id="rId40" w:history="1">
              <w:r w:rsidR="009329C3">
                <w:rPr>
                  <w:rStyle w:val="Hyperlink"/>
                </w:rPr>
                <w:t>HR and employment law: Health and safety</w:t>
              </w:r>
            </w:hyperlink>
            <w:r w:rsidR="00FC3A77">
              <w:t xml:space="preserve"> </w:t>
            </w:r>
            <w:r w:rsidR="008D7436">
              <w:t xml:space="preserve">(NCVO guidance) </w:t>
            </w:r>
          </w:p>
        </w:tc>
      </w:tr>
      <w:tr w:rsidR="00224689"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DA4BEF" w:rsidRDefault="00877579" w:rsidP="005E7558">
            <w:pPr>
              <w:spacing w:before="60" w:after="60"/>
            </w:pPr>
            <w:r>
              <w:t>20</w:t>
            </w:r>
          </w:p>
        </w:tc>
        <w:tc>
          <w:tcPr>
            <w:tcW w:w="1093"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Serious incidents are reported as required by regulators such as the Charity Commission, OSCR, CCNI and the Care Quality Commission.</w:t>
            </w:r>
          </w:p>
        </w:tc>
        <w:tc>
          <w:tcPr>
            <w:tcW w:w="1686"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ind w:right="43"/>
            </w:pPr>
          </w:p>
        </w:tc>
        <w:tc>
          <w:tcPr>
            <w:tcW w:w="2049" w:type="pct"/>
            <w:tcBorders>
              <w:top w:val="single" w:sz="4" w:space="0" w:color="000000"/>
              <w:left w:val="single" w:sz="4" w:space="0" w:color="000000"/>
              <w:bottom w:val="single" w:sz="4" w:space="0" w:color="000000"/>
              <w:right w:val="single" w:sz="4" w:space="0" w:color="000000"/>
            </w:tcBorders>
          </w:tcPr>
          <w:p w:rsidR="00DA4BEF" w:rsidRDefault="00515F45" w:rsidP="005E7558">
            <w:pPr>
              <w:spacing w:before="60" w:after="60"/>
              <w:ind w:right="43"/>
            </w:pPr>
            <w:hyperlink r:id="rId41" w:history="1">
              <w:r w:rsidR="009329C3">
                <w:rPr>
                  <w:rStyle w:val="Hyperlink"/>
                </w:rPr>
                <w:t>How to report a serious incident in your charity</w:t>
              </w:r>
            </w:hyperlink>
            <w:r w:rsidR="008D7436" w:rsidRPr="005E7ED9">
              <w:rPr>
                <w:rStyle w:val="Hyperlink"/>
                <w:color w:val="auto"/>
                <w:u w:val="none"/>
              </w:rPr>
              <w:t xml:space="preserve"> </w:t>
            </w:r>
            <w:r w:rsidR="008D7436">
              <w:rPr>
                <w:rStyle w:val="Hyperlink"/>
                <w:color w:val="auto"/>
                <w:u w:val="none"/>
              </w:rPr>
              <w:t>(</w:t>
            </w:r>
            <w:r w:rsidR="008D7436" w:rsidRPr="005E7ED9">
              <w:rPr>
                <w:rStyle w:val="Hyperlink"/>
                <w:color w:val="auto"/>
                <w:u w:val="none"/>
              </w:rPr>
              <w:t>Charity Commission guidance)</w:t>
            </w:r>
          </w:p>
          <w:p w:rsidR="002A5177" w:rsidRDefault="002A5177" w:rsidP="005E7558">
            <w:pPr>
              <w:spacing w:before="60" w:after="60"/>
              <w:ind w:right="43"/>
            </w:pPr>
          </w:p>
        </w:tc>
      </w:tr>
      <w:tr w:rsidR="00224689"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21</w:t>
            </w:r>
          </w:p>
        </w:tc>
        <w:tc>
          <w:tcPr>
            <w:tcW w:w="1093"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ind w:right="213"/>
              <w:jc w:val="both"/>
            </w:pPr>
            <w:r>
              <w:t>The organisation abides by safeguarding legislation.</w:t>
            </w:r>
          </w:p>
        </w:tc>
        <w:tc>
          <w:tcPr>
            <w:tcW w:w="1686" w:type="pct"/>
            <w:tcBorders>
              <w:top w:val="single" w:sz="4" w:space="0" w:color="000000"/>
              <w:left w:val="single" w:sz="4" w:space="0" w:color="000000"/>
              <w:bottom w:val="single" w:sz="4" w:space="0" w:color="000000"/>
              <w:right w:val="single" w:sz="4" w:space="0" w:color="000000"/>
            </w:tcBorders>
          </w:tcPr>
          <w:p w:rsidR="00DA4BEF" w:rsidRDefault="00DA4BEF">
            <w:pPr>
              <w:spacing w:before="60" w:after="60"/>
            </w:pPr>
            <w:r>
              <w:t xml:space="preserve">Annual review of policy is conducted by board or delegated to members of staff- confirmation that review has taken place and that processes are followed by staff can be through the organisational management calendar (see </w:t>
            </w:r>
            <w:r w:rsidR="00EE2980">
              <w:t xml:space="preserve">12 </w:t>
            </w:r>
            <w:r>
              <w:t>above). Board should sign off all policies.</w:t>
            </w:r>
          </w:p>
        </w:tc>
        <w:tc>
          <w:tcPr>
            <w:tcW w:w="2049" w:type="pct"/>
            <w:tcBorders>
              <w:top w:val="single" w:sz="4" w:space="0" w:color="000000"/>
              <w:left w:val="single" w:sz="4" w:space="0" w:color="000000"/>
              <w:bottom w:val="single" w:sz="4" w:space="0" w:color="000000"/>
              <w:right w:val="single" w:sz="4" w:space="0" w:color="000000"/>
            </w:tcBorders>
          </w:tcPr>
          <w:p w:rsidR="00DA4BEF" w:rsidRDefault="00515F45" w:rsidP="005E7558">
            <w:pPr>
              <w:spacing w:before="60" w:after="60"/>
            </w:pPr>
            <w:hyperlink r:id="rId42" w:history="1">
              <w:r w:rsidR="009329C3">
                <w:rPr>
                  <w:rStyle w:val="Hyperlink"/>
                </w:rPr>
                <w:t>Managing day-to-day operations: Safeguarding</w:t>
              </w:r>
            </w:hyperlink>
            <w:r w:rsidR="00FC3A77">
              <w:t xml:space="preserve"> </w:t>
            </w:r>
            <w:r w:rsidR="008D7436" w:rsidRPr="008D7436">
              <w:t>(NCVO guidance)</w:t>
            </w:r>
          </w:p>
        </w:tc>
      </w:tr>
      <w:tr w:rsidR="00224689"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22</w:t>
            </w:r>
          </w:p>
        </w:tc>
        <w:tc>
          <w:tcPr>
            <w:tcW w:w="1093"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The organisation abides by data protection law.</w:t>
            </w:r>
          </w:p>
        </w:tc>
        <w:tc>
          <w:tcPr>
            <w:tcW w:w="1686"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 xml:space="preserve">Annual review of policy is conducted by board or delegated to members of staff- confirmation that review has taken place and that processes are followed by staff can be through the organisational management calendar (see </w:t>
            </w:r>
            <w:r w:rsidR="00443CEF">
              <w:t xml:space="preserve">12 </w:t>
            </w:r>
            <w:r>
              <w:t>above). There could be a report to board on activity to ensure compliance by the delegated member of staff/board member.  The board should sign off all policies.</w:t>
            </w:r>
          </w:p>
          <w:p w:rsidR="00DA4BEF" w:rsidRDefault="00DA4BEF" w:rsidP="005E7558">
            <w:pPr>
              <w:spacing w:before="60" w:after="60"/>
            </w:pPr>
            <w:r>
              <w:t xml:space="preserve">There should be confirmation to the board that the organisation’s entry to the Information Commissioner’s </w:t>
            </w:r>
            <w:r>
              <w:lastRenderedPageBreak/>
              <w:t>Office has been renewed annually.</w:t>
            </w:r>
          </w:p>
        </w:tc>
        <w:tc>
          <w:tcPr>
            <w:tcW w:w="2049" w:type="pct"/>
            <w:tcBorders>
              <w:top w:val="single" w:sz="4" w:space="0" w:color="000000"/>
              <w:left w:val="single" w:sz="4" w:space="0" w:color="000000"/>
              <w:bottom w:val="single" w:sz="4" w:space="0" w:color="000000"/>
              <w:right w:val="single" w:sz="4" w:space="0" w:color="000000"/>
            </w:tcBorders>
          </w:tcPr>
          <w:p w:rsidR="00DA4BEF" w:rsidRDefault="00515F45" w:rsidP="005E7558">
            <w:pPr>
              <w:spacing w:before="60" w:after="60"/>
            </w:pPr>
            <w:hyperlink r:id="rId43" w:history="1">
              <w:r w:rsidR="008D7436">
                <w:rPr>
                  <w:rStyle w:val="Hyperlink"/>
                </w:rPr>
                <w:t>Data Protection and</w:t>
              </w:r>
              <w:r w:rsidR="009329C3">
                <w:rPr>
                  <w:rStyle w:val="Hyperlink"/>
                </w:rPr>
                <w:t xml:space="preserve"> Charit</w:t>
              </w:r>
              <w:r w:rsidR="008D7436">
                <w:rPr>
                  <w:rStyle w:val="Hyperlink"/>
                </w:rPr>
                <w:t>ies</w:t>
              </w:r>
            </w:hyperlink>
            <w:r w:rsidR="008D7436" w:rsidRPr="005E7ED9">
              <w:rPr>
                <w:rStyle w:val="Hyperlink"/>
                <w:color w:val="auto"/>
                <w:u w:val="none"/>
              </w:rPr>
              <w:t xml:space="preserve"> (Information Commissioners Office guidance)</w:t>
            </w:r>
          </w:p>
          <w:p w:rsidR="00EE2980" w:rsidRDefault="00515F45" w:rsidP="005E7558">
            <w:pPr>
              <w:spacing w:before="60" w:after="60"/>
            </w:pPr>
            <w:hyperlink r:id="rId44" w:history="1">
              <w:r w:rsidR="009329C3">
                <w:rPr>
                  <w:rStyle w:val="Hyperlink"/>
                </w:rPr>
                <w:t>Managing day-to-day operations: Data protection and GDPR</w:t>
              </w:r>
            </w:hyperlink>
            <w:r w:rsidR="00FC3A77">
              <w:t xml:space="preserve"> </w:t>
            </w:r>
            <w:r w:rsidR="008D2A9D">
              <w:t>(NCVO guidance)</w:t>
            </w:r>
          </w:p>
        </w:tc>
      </w:tr>
      <w:tr w:rsidR="00224689"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lastRenderedPageBreak/>
              <w:t>23</w:t>
            </w:r>
          </w:p>
        </w:tc>
        <w:tc>
          <w:tcPr>
            <w:tcW w:w="1093" w:type="pct"/>
            <w:tcBorders>
              <w:top w:val="single" w:sz="4" w:space="0" w:color="000000"/>
              <w:left w:val="single" w:sz="4" w:space="0" w:color="000000"/>
              <w:bottom w:val="single" w:sz="4" w:space="0" w:color="000000"/>
              <w:right w:val="single" w:sz="4" w:space="0" w:color="000000"/>
            </w:tcBorders>
          </w:tcPr>
          <w:p w:rsidR="00DA4BEF" w:rsidRDefault="00DA4BEF" w:rsidP="005E7558">
            <w:pPr>
              <w:spacing w:before="60" w:after="60"/>
            </w:pPr>
            <w:r>
              <w:t>The organisation abides by the Equality Act 2010.</w:t>
            </w:r>
          </w:p>
        </w:tc>
        <w:tc>
          <w:tcPr>
            <w:tcW w:w="1686" w:type="pct"/>
            <w:tcBorders>
              <w:top w:val="single" w:sz="4" w:space="0" w:color="000000"/>
              <w:left w:val="single" w:sz="4" w:space="0" w:color="000000"/>
              <w:bottom w:val="single" w:sz="4" w:space="0" w:color="000000"/>
              <w:right w:val="single" w:sz="4" w:space="0" w:color="000000"/>
            </w:tcBorders>
          </w:tcPr>
          <w:p w:rsidR="00DA4BEF" w:rsidRDefault="00DA4BEF">
            <w:pPr>
              <w:spacing w:before="60" w:after="60"/>
            </w:pPr>
            <w:r>
              <w:t xml:space="preserve">Annual review of policy is conducted by board or delegated to members of staff- confirmation that review has taken place confirmation that review has taken place and that processes are followed by staff can be through the organisational management calendar (see </w:t>
            </w:r>
            <w:r w:rsidR="00443CEF">
              <w:t xml:space="preserve">12 </w:t>
            </w:r>
            <w:r>
              <w:t>above). There could be a report on board on activity to ensure compliance by the delegated member of staff / board member.  The board should sign off all policies.</w:t>
            </w:r>
          </w:p>
        </w:tc>
        <w:tc>
          <w:tcPr>
            <w:tcW w:w="2049" w:type="pct"/>
            <w:tcBorders>
              <w:top w:val="single" w:sz="4" w:space="0" w:color="000000"/>
              <w:left w:val="single" w:sz="4" w:space="0" w:color="000000"/>
              <w:bottom w:val="single" w:sz="4" w:space="0" w:color="000000"/>
              <w:right w:val="single" w:sz="4" w:space="0" w:color="000000"/>
            </w:tcBorders>
          </w:tcPr>
          <w:p w:rsidR="00DA4BEF" w:rsidRDefault="00515F45">
            <w:pPr>
              <w:spacing w:before="60" w:after="60"/>
            </w:pPr>
            <w:hyperlink r:id="rId45" w:history="1">
              <w:r w:rsidR="00AD37CE">
                <w:rPr>
                  <w:rStyle w:val="Hyperlink"/>
                </w:rPr>
                <w:t>Equality Act</w:t>
              </w:r>
            </w:hyperlink>
            <w:r w:rsidR="00FC3A77">
              <w:t xml:space="preserve"> </w:t>
            </w:r>
            <w:r w:rsidR="008D2A9D">
              <w:t>(Equality and Human Rights Commission guidance)</w:t>
            </w:r>
          </w:p>
        </w:tc>
      </w:tr>
      <w:tr w:rsidR="00224689" w:rsidTr="00A83557">
        <w:tblPrEx>
          <w:tblCellMar>
            <w:top w:w="9" w:type="dxa"/>
            <w:right w:w="47" w:type="dxa"/>
          </w:tblCellMar>
        </w:tblPrEx>
        <w:tc>
          <w:tcPr>
            <w:tcW w:w="172" w:type="pct"/>
            <w:tcBorders>
              <w:top w:val="single" w:sz="4" w:space="0" w:color="000000"/>
              <w:left w:val="single" w:sz="4" w:space="0" w:color="000000"/>
              <w:right w:val="single" w:sz="4" w:space="0" w:color="000000"/>
            </w:tcBorders>
          </w:tcPr>
          <w:p w:rsidR="00DA4BEF" w:rsidRDefault="00DA4BEF" w:rsidP="005E7558">
            <w:pPr>
              <w:spacing w:before="60" w:after="60"/>
            </w:pPr>
            <w:r>
              <w:t>24</w:t>
            </w:r>
          </w:p>
        </w:tc>
        <w:tc>
          <w:tcPr>
            <w:tcW w:w="1093" w:type="pct"/>
            <w:tcBorders>
              <w:top w:val="single" w:sz="4" w:space="0" w:color="000000"/>
              <w:left w:val="single" w:sz="4" w:space="0" w:color="000000"/>
              <w:right w:val="single" w:sz="4" w:space="0" w:color="000000"/>
            </w:tcBorders>
          </w:tcPr>
          <w:p w:rsidR="00DA4BEF" w:rsidRDefault="00DA4BEF" w:rsidP="005E7558">
            <w:pPr>
              <w:spacing w:before="60" w:after="60"/>
            </w:pPr>
            <w:r>
              <w:t>The organisation complies with the terms of its contracts, including leases and contracts to provide services (for example).</w:t>
            </w:r>
          </w:p>
        </w:tc>
        <w:tc>
          <w:tcPr>
            <w:tcW w:w="1686" w:type="pct"/>
            <w:tcBorders>
              <w:top w:val="single" w:sz="4" w:space="0" w:color="000000"/>
              <w:left w:val="single" w:sz="4" w:space="0" w:color="000000"/>
              <w:right w:val="single" w:sz="4" w:space="0" w:color="000000"/>
            </w:tcBorders>
          </w:tcPr>
          <w:p w:rsidR="00DA4BEF" w:rsidRDefault="00DA4BEF" w:rsidP="005E7558">
            <w:pPr>
              <w:spacing w:before="60" w:after="60"/>
            </w:pPr>
            <w:r>
              <w:t>Delegate a key person (trustee or paid staff) to examine all contracts on signing. In financial policy (or risk management policy) define who is entitled to sign contracts on behalf of the organisation.</w:t>
            </w:r>
          </w:p>
          <w:p w:rsidR="00DA4BEF" w:rsidRDefault="00DA4BEF" w:rsidP="005E7558">
            <w:pPr>
              <w:spacing w:before="60" w:after="60"/>
            </w:pPr>
            <w:r>
              <w:t>Maintain a register of contracts including key dates such as termination rights, rent or fee reviews, maintenance obligations etc.</w:t>
            </w:r>
          </w:p>
        </w:tc>
        <w:tc>
          <w:tcPr>
            <w:tcW w:w="2049" w:type="pct"/>
            <w:tcBorders>
              <w:top w:val="single" w:sz="4" w:space="0" w:color="000000"/>
              <w:left w:val="single" w:sz="4" w:space="0" w:color="000000"/>
              <w:right w:val="single" w:sz="4" w:space="0" w:color="000000"/>
            </w:tcBorders>
          </w:tcPr>
          <w:p w:rsidR="00DA4BEF" w:rsidRDefault="00DA4BEF" w:rsidP="005E7558">
            <w:pPr>
              <w:spacing w:before="60" w:after="60"/>
            </w:pPr>
          </w:p>
        </w:tc>
      </w:tr>
      <w:tr w:rsidR="00224689"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7610E5" w:rsidRDefault="007610E5" w:rsidP="00877579">
            <w:pPr>
              <w:spacing w:before="60" w:after="60"/>
            </w:pPr>
            <w:r>
              <w:t>2</w:t>
            </w:r>
            <w:r w:rsidR="00877579">
              <w:t>5</w:t>
            </w:r>
          </w:p>
        </w:tc>
        <w:tc>
          <w:tcPr>
            <w:tcW w:w="1093" w:type="pct"/>
            <w:tcBorders>
              <w:top w:val="single" w:sz="4" w:space="0" w:color="000000"/>
              <w:left w:val="single" w:sz="4" w:space="0" w:color="000000"/>
              <w:bottom w:val="single" w:sz="4" w:space="0" w:color="000000"/>
              <w:right w:val="single" w:sz="4" w:space="0" w:color="000000"/>
            </w:tcBorders>
          </w:tcPr>
          <w:p w:rsidR="007610E5" w:rsidRDefault="007610E5" w:rsidP="005E7558">
            <w:pPr>
              <w:spacing w:before="60" w:after="60"/>
            </w:pPr>
            <w:r>
              <w:t>The organisation has adequate insurance- public liability, employers’ liability (may also consider trustee liability and professional liability insurance although not a legal requirement).</w:t>
            </w:r>
          </w:p>
        </w:tc>
        <w:tc>
          <w:tcPr>
            <w:tcW w:w="1686" w:type="pct"/>
            <w:tcBorders>
              <w:top w:val="single" w:sz="4" w:space="0" w:color="000000"/>
              <w:left w:val="single" w:sz="4" w:space="0" w:color="000000"/>
              <w:bottom w:val="single" w:sz="4" w:space="0" w:color="000000"/>
              <w:right w:val="single" w:sz="4" w:space="0" w:color="000000"/>
            </w:tcBorders>
          </w:tcPr>
          <w:p w:rsidR="007610E5" w:rsidRDefault="007610E5">
            <w:pPr>
              <w:spacing w:before="60" w:after="60"/>
            </w:pPr>
            <w:r>
              <w:t>Use the timetable of key dates at each board meeting to confirm when insurance is due and that it is in place.  (May be delegated to a staff member to carry out and sub-committee meeting to discuss best value). Arrange for each policy to be reviewed annually before renewal to ensure organisation is complying with the terms of the insurance contract.</w:t>
            </w:r>
          </w:p>
        </w:tc>
        <w:tc>
          <w:tcPr>
            <w:tcW w:w="2049" w:type="pct"/>
            <w:tcBorders>
              <w:top w:val="single" w:sz="4" w:space="0" w:color="000000"/>
              <w:left w:val="single" w:sz="4" w:space="0" w:color="000000"/>
              <w:bottom w:val="single" w:sz="4" w:space="0" w:color="000000"/>
              <w:right w:val="single" w:sz="4" w:space="0" w:color="000000"/>
            </w:tcBorders>
          </w:tcPr>
          <w:p w:rsidR="007610E5" w:rsidRDefault="00515F45">
            <w:pPr>
              <w:spacing w:before="60" w:after="60"/>
            </w:pPr>
            <w:hyperlink r:id="rId46" w:history="1">
              <w:r w:rsidR="008D2A9D">
                <w:rPr>
                  <w:rStyle w:val="Hyperlink"/>
                </w:rPr>
                <w:t>Charities and Insurance</w:t>
              </w:r>
            </w:hyperlink>
            <w:r w:rsidR="008D2A9D">
              <w:t xml:space="preserve"> (NCVO guidance)</w:t>
            </w:r>
          </w:p>
        </w:tc>
      </w:tr>
      <w:tr w:rsidR="00224689"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7610E5" w:rsidRDefault="007610E5" w:rsidP="00877579">
            <w:pPr>
              <w:spacing w:before="60" w:after="60"/>
            </w:pPr>
            <w:r>
              <w:t>2</w:t>
            </w:r>
            <w:r w:rsidR="00877579">
              <w:t>6</w:t>
            </w:r>
          </w:p>
        </w:tc>
        <w:tc>
          <w:tcPr>
            <w:tcW w:w="1093" w:type="pct"/>
            <w:tcBorders>
              <w:top w:val="single" w:sz="4" w:space="0" w:color="000000"/>
              <w:left w:val="single" w:sz="4" w:space="0" w:color="000000"/>
              <w:bottom w:val="single" w:sz="4" w:space="0" w:color="000000"/>
              <w:right w:val="single" w:sz="4" w:space="0" w:color="000000"/>
            </w:tcBorders>
          </w:tcPr>
          <w:p w:rsidR="007610E5" w:rsidRDefault="007610E5" w:rsidP="005E7558">
            <w:pPr>
              <w:spacing w:before="60" w:after="60"/>
            </w:pPr>
            <w:r>
              <w:t>The organisation’s identity, legal status and contact details appear on website, publicity material, letterheads and other stationery, including email.</w:t>
            </w:r>
          </w:p>
        </w:tc>
        <w:tc>
          <w:tcPr>
            <w:tcW w:w="1686" w:type="pct"/>
            <w:tcBorders>
              <w:top w:val="single" w:sz="4" w:space="0" w:color="000000"/>
              <w:left w:val="single" w:sz="4" w:space="0" w:color="000000"/>
              <w:bottom w:val="single" w:sz="4" w:space="0" w:color="000000"/>
              <w:right w:val="single" w:sz="4" w:space="0" w:color="000000"/>
            </w:tcBorders>
          </w:tcPr>
          <w:p w:rsidR="007610E5" w:rsidRDefault="007610E5" w:rsidP="005E7558">
            <w:pPr>
              <w:spacing w:before="60" w:after="60"/>
              <w:ind w:right="7"/>
            </w:pPr>
            <w:r>
              <w:t>Bear in mind when designing new leaflets, cards, etc. and delegate one person to gather together all stationery / publicity material (including email footers and website info) and do an initial spot check.</w:t>
            </w:r>
          </w:p>
        </w:tc>
        <w:tc>
          <w:tcPr>
            <w:tcW w:w="2049" w:type="pct"/>
            <w:tcBorders>
              <w:top w:val="single" w:sz="4" w:space="0" w:color="000000"/>
              <w:left w:val="single" w:sz="4" w:space="0" w:color="000000"/>
              <w:bottom w:val="single" w:sz="4" w:space="0" w:color="000000"/>
              <w:right w:val="single" w:sz="4" w:space="0" w:color="000000"/>
            </w:tcBorders>
          </w:tcPr>
          <w:p w:rsidR="007610E5" w:rsidRDefault="00515F45" w:rsidP="005E7558">
            <w:pPr>
              <w:spacing w:before="60" w:after="60"/>
              <w:ind w:right="7"/>
            </w:pPr>
            <w:hyperlink r:id="rId47" w:history="1">
              <w:r w:rsidR="00AD37CE">
                <w:rPr>
                  <w:rStyle w:val="Hyperlink"/>
                </w:rPr>
                <w:t>How to make sure you include the right information about your charity on official documents</w:t>
              </w:r>
            </w:hyperlink>
            <w:r w:rsidR="00FC3A77">
              <w:t xml:space="preserve"> </w:t>
            </w:r>
            <w:r w:rsidR="008D2A9D">
              <w:t>(NCVO guidance)</w:t>
            </w:r>
          </w:p>
        </w:tc>
      </w:tr>
      <w:tr w:rsidR="00224689"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7610E5" w:rsidRDefault="007610E5" w:rsidP="00877579">
            <w:pPr>
              <w:spacing w:before="60" w:after="60"/>
            </w:pPr>
            <w:r>
              <w:t>2</w:t>
            </w:r>
            <w:r w:rsidR="00877579">
              <w:t>7</w:t>
            </w:r>
          </w:p>
        </w:tc>
        <w:tc>
          <w:tcPr>
            <w:tcW w:w="1093" w:type="pct"/>
            <w:tcBorders>
              <w:top w:val="single" w:sz="4" w:space="0" w:color="000000"/>
              <w:left w:val="single" w:sz="4" w:space="0" w:color="000000"/>
              <w:bottom w:val="single" w:sz="4" w:space="0" w:color="000000"/>
              <w:right w:val="single" w:sz="4" w:space="0" w:color="000000"/>
            </w:tcBorders>
          </w:tcPr>
          <w:p w:rsidR="007610E5" w:rsidRDefault="007610E5" w:rsidP="00D47C24">
            <w:pPr>
              <w:spacing w:before="60" w:after="60"/>
            </w:pPr>
            <w:r>
              <w:t xml:space="preserve">Relevant permissions are gained for </w:t>
            </w:r>
            <w:r>
              <w:lastRenderedPageBreak/>
              <w:t>publicity materials (</w:t>
            </w:r>
            <w:proofErr w:type="spellStart"/>
            <w:r>
              <w:t>eg</w:t>
            </w:r>
            <w:proofErr w:type="spellEnd"/>
            <w:r>
              <w:t xml:space="preserve"> case studies, photographs).</w:t>
            </w:r>
          </w:p>
        </w:tc>
        <w:tc>
          <w:tcPr>
            <w:tcW w:w="1686" w:type="pct"/>
            <w:tcBorders>
              <w:top w:val="single" w:sz="4" w:space="0" w:color="000000"/>
              <w:left w:val="single" w:sz="4" w:space="0" w:color="000000"/>
              <w:bottom w:val="single" w:sz="4" w:space="0" w:color="000000"/>
              <w:right w:val="single" w:sz="4" w:space="0" w:color="000000"/>
            </w:tcBorders>
          </w:tcPr>
          <w:p w:rsidR="007610E5" w:rsidRDefault="007610E5" w:rsidP="005E7558">
            <w:pPr>
              <w:spacing w:before="60" w:after="60"/>
            </w:pPr>
            <w:r>
              <w:lastRenderedPageBreak/>
              <w:t>Have a checklist guideline for people to follow.</w:t>
            </w:r>
          </w:p>
        </w:tc>
        <w:tc>
          <w:tcPr>
            <w:tcW w:w="2049" w:type="pct"/>
            <w:tcBorders>
              <w:top w:val="single" w:sz="4" w:space="0" w:color="000000"/>
              <w:left w:val="single" w:sz="4" w:space="0" w:color="000000"/>
              <w:bottom w:val="single" w:sz="4" w:space="0" w:color="000000"/>
              <w:right w:val="single" w:sz="4" w:space="0" w:color="000000"/>
            </w:tcBorders>
          </w:tcPr>
          <w:p w:rsidR="007610E5" w:rsidRDefault="00515F45" w:rsidP="005E7558">
            <w:pPr>
              <w:spacing w:before="60" w:after="60"/>
            </w:pPr>
            <w:hyperlink r:id="rId48" w:history="1">
              <w:r w:rsidR="00385700">
                <w:rPr>
                  <w:rStyle w:val="Hyperlink"/>
                </w:rPr>
                <w:t>Using somebody else's intellectual property</w:t>
              </w:r>
            </w:hyperlink>
            <w:r w:rsidR="008D2A9D" w:rsidRPr="005E7ED9">
              <w:rPr>
                <w:rStyle w:val="Hyperlink"/>
                <w:color w:val="auto"/>
                <w:u w:val="none"/>
              </w:rPr>
              <w:t xml:space="preserve"> (Government guidance)</w:t>
            </w:r>
          </w:p>
          <w:p w:rsidR="00E40F31" w:rsidRDefault="00515F45" w:rsidP="005E7558">
            <w:pPr>
              <w:spacing w:before="60" w:after="60"/>
            </w:pPr>
            <w:hyperlink r:id="rId49" w:history="1">
              <w:r w:rsidR="00385700">
                <w:rPr>
                  <w:rStyle w:val="Hyperlink"/>
                </w:rPr>
                <w:t>Photo consent for community groups</w:t>
              </w:r>
            </w:hyperlink>
            <w:r w:rsidR="001037EC">
              <w:t xml:space="preserve"> </w:t>
            </w:r>
            <w:r w:rsidR="008D2A9D">
              <w:t>(guidance)</w:t>
            </w:r>
            <w:r w:rsidR="001037EC">
              <w:t xml:space="preserve"> </w:t>
            </w:r>
          </w:p>
          <w:p w:rsidR="00AA39F5" w:rsidRDefault="00515F45" w:rsidP="005E7558">
            <w:pPr>
              <w:spacing w:before="60" w:after="60"/>
            </w:pPr>
            <w:hyperlink r:id="rId50" w:anchor="Show-and-tell" w:history="1">
              <w:r w:rsidR="00385700">
                <w:rPr>
                  <w:rStyle w:val="Hyperlink"/>
                </w:rPr>
                <w:t>Show and tell: A best practice guide to portraying beneficiaries and service users</w:t>
              </w:r>
            </w:hyperlink>
            <w:r w:rsidR="008D2A9D" w:rsidRPr="005E7ED9">
              <w:rPr>
                <w:rStyle w:val="Hyperlink"/>
                <w:color w:val="auto"/>
                <w:u w:val="none"/>
              </w:rPr>
              <w:t xml:space="preserve"> (</w:t>
            </w:r>
            <w:r w:rsidR="008D2A9D" w:rsidRPr="008D2A9D">
              <w:rPr>
                <w:rStyle w:val="Hyperlink"/>
                <w:color w:val="auto"/>
                <w:u w:val="none"/>
              </w:rPr>
              <w:t>guidance</w:t>
            </w:r>
            <w:r w:rsidR="008D2A9D" w:rsidRPr="005E7ED9">
              <w:rPr>
                <w:rStyle w:val="Hyperlink"/>
                <w:color w:val="auto"/>
                <w:u w:val="none"/>
              </w:rPr>
              <w:t>)</w:t>
            </w:r>
          </w:p>
          <w:p w:rsidR="00AA39F5" w:rsidRDefault="00515F45" w:rsidP="005E7558">
            <w:pPr>
              <w:spacing w:before="60" w:after="60"/>
            </w:pPr>
            <w:hyperlink r:id="rId51" w:history="1">
              <w:r w:rsidR="00385700" w:rsidRPr="00385700">
                <w:rPr>
                  <w:rStyle w:val="Hyperlink"/>
                </w:rPr>
                <w:t>A beginner’s guide to media licensing in the charity sector</w:t>
              </w:r>
            </w:hyperlink>
            <w:r w:rsidR="00AA39F5">
              <w:t xml:space="preserve">   </w:t>
            </w:r>
            <w:r w:rsidR="008D2A9D">
              <w:t>(guidance)</w:t>
            </w:r>
          </w:p>
        </w:tc>
      </w:tr>
      <w:tr w:rsidR="00224689"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7610E5" w:rsidRDefault="007610E5" w:rsidP="00877579">
            <w:pPr>
              <w:spacing w:before="60" w:after="60"/>
            </w:pPr>
            <w:r>
              <w:lastRenderedPageBreak/>
              <w:t>2</w:t>
            </w:r>
            <w:r w:rsidR="00877579">
              <w:t>8</w:t>
            </w:r>
          </w:p>
        </w:tc>
        <w:tc>
          <w:tcPr>
            <w:tcW w:w="1093" w:type="pct"/>
            <w:tcBorders>
              <w:top w:val="single" w:sz="4" w:space="0" w:color="000000"/>
              <w:left w:val="single" w:sz="4" w:space="0" w:color="000000"/>
              <w:bottom w:val="single" w:sz="4" w:space="0" w:color="000000"/>
              <w:right w:val="single" w:sz="4" w:space="0" w:color="000000"/>
            </w:tcBorders>
          </w:tcPr>
          <w:p w:rsidR="007610E5" w:rsidRDefault="007610E5" w:rsidP="005E7ED9">
            <w:pPr>
              <w:spacing w:before="60" w:after="60"/>
            </w:pPr>
            <w:r>
              <w:t xml:space="preserve">The organisation follows advertising standards regulation </w:t>
            </w:r>
            <w:r w:rsidR="00725F76" w:rsidRPr="005E7ED9">
              <w:t>–</w:t>
            </w:r>
            <w:r>
              <w:t xml:space="preserve"> </w:t>
            </w:r>
            <w:proofErr w:type="spellStart"/>
            <w:r>
              <w:t>eg</w:t>
            </w:r>
            <w:proofErr w:type="spellEnd"/>
            <w:r>
              <w:t xml:space="preserve"> when making claims about its services.</w:t>
            </w:r>
          </w:p>
        </w:tc>
        <w:tc>
          <w:tcPr>
            <w:tcW w:w="1686" w:type="pct"/>
            <w:tcBorders>
              <w:top w:val="single" w:sz="4" w:space="0" w:color="000000"/>
              <w:left w:val="single" w:sz="4" w:space="0" w:color="000000"/>
              <w:bottom w:val="single" w:sz="4" w:space="0" w:color="000000"/>
              <w:right w:val="single" w:sz="4" w:space="0" w:color="000000"/>
            </w:tcBorders>
          </w:tcPr>
          <w:p w:rsidR="007610E5" w:rsidRDefault="007610E5" w:rsidP="005E7558">
            <w:pPr>
              <w:spacing w:before="60" w:after="60"/>
            </w:pPr>
            <w:r>
              <w:t>Bear in mind when composing promotional materials.  Some organisations have a ‘house style’ document or a communications policy and it could be included here.</w:t>
            </w:r>
          </w:p>
        </w:tc>
        <w:tc>
          <w:tcPr>
            <w:tcW w:w="2049" w:type="pct"/>
            <w:tcBorders>
              <w:top w:val="single" w:sz="4" w:space="0" w:color="000000"/>
              <w:left w:val="single" w:sz="4" w:space="0" w:color="000000"/>
              <w:bottom w:val="single" w:sz="4" w:space="0" w:color="000000"/>
              <w:right w:val="single" w:sz="4" w:space="0" w:color="000000"/>
            </w:tcBorders>
          </w:tcPr>
          <w:p w:rsidR="007610E5" w:rsidRDefault="00515F45" w:rsidP="005E7558">
            <w:pPr>
              <w:spacing w:before="60" w:after="60"/>
            </w:pPr>
            <w:hyperlink r:id="rId52" w:history="1">
              <w:r w:rsidR="000B398C">
                <w:rPr>
                  <w:rStyle w:val="Hyperlink"/>
                </w:rPr>
                <w:t>Advertising codes</w:t>
              </w:r>
            </w:hyperlink>
            <w:r w:rsidR="00FC3A77">
              <w:t xml:space="preserve"> </w:t>
            </w:r>
            <w:r w:rsidR="008D2A9D">
              <w:t>(Advertising Standards Authority)</w:t>
            </w:r>
          </w:p>
        </w:tc>
      </w:tr>
      <w:tr w:rsidR="00224689" w:rsidTr="00A83557">
        <w:tblPrEx>
          <w:tblCellMar>
            <w:top w:w="9" w:type="dxa"/>
            <w:right w:w="47" w:type="dxa"/>
          </w:tblCellMar>
        </w:tblPrEx>
        <w:tc>
          <w:tcPr>
            <w:tcW w:w="172" w:type="pct"/>
            <w:tcBorders>
              <w:top w:val="single" w:sz="4" w:space="0" w:color="000000"/>
              <w:left w:val="single" w:sz="4" w:space="0" w:color="000000"/>
              <w:bottom w:val="single" w:sz="4" w:space="0" w:color="000000"/>
              <w:right w:val="single" w:sz="4" w:space="0" w:color="000000"/>
            </w:tcBorders>
          </w:tcPr>
          <w:p w:rsidR="007610E5" w:rsidRDefault="00877579" w:rsidP="005E7558">
            <w:pPr>
              <w:spacing w:before="60" w:after="60"/>
            </w:pPr>
            <w:r>
              <w:t>29</w:t>
            </w:r>
          </w:p>
        </w:tc>
        <w:tc>
          <w:tcPr>
            <w:tcW w:w="1093" w:type="pct"/>
            <w:tcBorders>
              <w:top w:val="single" w:sz="4" w:space="0" w:color="000000"/>
              <w:left w:val="single" w:sz="4" w:space="0" w:color="000000"/>
              <w:bottom w:val="single" w:sz="4" w:space="0" w:color="000000"/>
              <w:right w:val="single" w:sz="4" w:space="0" w:color="000000"/>
            </w:tcBorders>
          </w:tcPr>
          <w:p w:rsidR="007610E5" w:rsidRDefault="007610E5" w:rsidP="005E7558">
            <w:pPr>
              <w:spacing w:before="60" w:after="60"/>
              <w:ind w:right="57"/>
            </w:pPr>
            <w:r>
              <w:t>The organisation abides by the laws relating to trademarks, copyright and patents.</w:t>
            </w:r>
          </w:p>
        </w:tc>
        <w:tc>
          <w:tcPr>
            <w:tcW w:w="1686" w:type="pct"/>
            <w:tcBorders>
              <w:top w:val="single" w:sz="4" w:space="0" w:color="000000"/>
              <w:left w:val="single" w:sz="4" w:space="0" w:color="000000"/>
              <w:bottom w:val="single" w:sz="4" w:space="0" w:color="000000"/>
              <w:right w:val="single" w:sz="4" w:space="0" w:color="000000"/>
            </w:tcBorders>
          </w:tcPr>
          <w:p w:rsidR="007610E5" w:rsidRDefault="007610E5" w:rsidP="005E7558">
            <w:pPr>
              <w:spacing w:before="60" w:after="60"/>
            </w:pPr>
          </w:p>
        </w:tc>
        <w:tc>
          <w:tcPr>
            <w:tcW w:w="2049" w:type="pct"/>
            <w:tcBorders>
              <w:top w:val="single" w:sz="4" w:space="0" w:color="000000"/>
              <w:left w:val="single" w:sz="4" w:space="0" w:color="000000"/>
              <w:bottom w:val="single" w:sz="4" w:space="0" w:color="000000"/>
              <w:right w:val="single" w:sz="4" w:space="0" w:color="000000"/>
            </w:tcBorders>
          </w:tcPr>
          <w:p w:rsidR="007610E5" w:rsidRDefault="00515F45" w:rsidP="005E7558">
            <w:pPr>
              <w:spacing w:before="60" w:after="60"/>
            </w:pPr>
            <w:hyperlink r:id="rId53" w:history="1">
              <w:r w:rsidR="00CE6686">
                <w:rPr>
                  <w:rStyle w:val="Hyperlink"/>
                </w:rPr>
                <w:t xml:space="preserve">Patents, </w:t>
              </w:r>
              <w:r w:rsidR="008D2A9D">
                <w:rPr>
                  <w:rStyle w:val="Hyperlink"/>
                </w:rPr>
                <w:t>trademarks</w:t>
              </w:r>
              <w:r w:rsidR="00CE6686">
                <w:rPr>
                  <w:rStyle w:val="Hyperlink"/>
                </w:rPr>
                <w:t xml:space="preserve">, copyright and designs </w:t>
              </w:r>
            </w:hyperlink>
            <w:r w:rsidR="00FC3A77">
              <w:t xml:space="preserve"> </w:t>
            </w:r>
            <w:r w:rsidR="008D2A9D">
              <w:t>(Government guidance)</w:t>
            </w:r>
          </w:p>
        </w:tc>
      </w:tr>
    </w:tbl>
    <w:p w:rsidR="002D0477" w:rsidRDefault="002D0477"/>
    <w:p w:rsidR="002D0477" w:rsidRDefault="002D0477"/>
    <w:p w:rsidR="002D0477" w:rsidRDefault="002D0477"/>
    <w:p w:rsidR="002D0477" w:rsidRDefault="002D0477"/>
    <w:p w:rsidR="002D0477" w:rsidRDefault="002D0477"/>
    <w:tbl>
      <w:tblPr>
        <w:tblStyle w:val="TableGrid"/>
        <w:tblW w:w="5000" w:type="pct"/>
        <w:tblInd w:w="0" w:type="dxa"/>
        <w:tblLayout w:type="fixed"/>
        <w:tblCellMar>
          <w:top w:w="9" w:type="dxa"/>
          <w:left w:w="108" w:type="dxa"/>
          <w:right w:w="47" w:type="dxa"/>
        </w:tblCellMar>
        <w:tblLook w:val="04A0" w:firstRow="1" w:lastRow="0" w:firstColumn="1" w:lastColumn="0" w:noHBand="0" w:noVBand="1"/>
      </w:tblPr>
      <w:tblGrid>
        <w:gridCol w:w="535"/>
        <w:gridCol w:w="3400"/>
        <w:gridCol w:w="5244"/>
        <w:gridCol w:w="6374"/>
      </w:tblGrid>
      <w:tr w:rsidR="00224689" w:rsidTr="005E7ED9">
        <w:tc>
          <w:tcPr>
            <w:tcW w:w="172" w:type="pct"/>
            <w:tcBorders>
              <w:top w:val="single" w:sz="4" w:space="0" w:color="000000"/>
              <w:left w:val="single" w:sz="4" w:space="0" w:color="000000"/>
              <w:bottom w:val="single" w:sz="4" w:space="0" w:color="000000"/>
              <w:right w:val="single" w:sz="4" w:space="0" w:color="000000"/>
            </w:tcBorders>
            <w:shd w:val="clear" w:color="auto" w:fill="BCBEB5"/>
          </w:tcPr>
          <w:p w:rsidR="007610E5" w:rsidRDefault="007610E5" w:rsidP="007610E5">
            <w:pPr>
              <w:spacing w:before="60" w:after="60"/>
            </w:pPr>
          </w:p>
        </w:tc>
        <w:tc>
          <w:tcPr>
            <w:tcW w:w="1093" w:type="pct"/>
            <w:tcBorders>
              <w:top w:val="single" w:sz="4" w:space="0" w:color="000000"/>
              <w:left w:val="single" w:sz="4" w:space="0" w:color="000000"/>
              <w:bottom w:val="single" w:sz="4" w:space="0" w:color="000000"/>
              <w:right w:val="single" w:sz="4" w:space="0" w:color="000000"/>
            </w:tcBorders>
            <w:shd w:val="clear" w:color="auto" w:fill="BCBEB5"/>
          </w:tcPr>
          <w:p w:rsidR="007610E5" w:rsidRPr="005E7ED9" w:rsidRDefault="007610E5" w:rsidP="005E7ED9">
            <w:pPr>
              <w:pStyle w:val="Heading3"/>
              <w:outlineLvl w:val="2"/>
            </w:pPr>
            <w:r w:rsidRPr="005E7ED9">
              <w:t>Employment Law</w:t>
            </w:r>
          </w:p>
        </w:tc>
        <w:tc>
          <w:tcPr>
            <w:tcW w:w="1686" w:type="pct"/>
            <w:tcBorders>
              <w:top w:val="single" w:sz="4" w:space="0" w:color="000000"/>
              <w:left w:val="single" w:sz="4" w:space="0" w:color="000000"/>
              <w:bottom w:val="single" w:sz="4" w:space="0" w:color="000000"/>
              <w:right w:val="single" w:sz="4" w:space="0" w:color="000000"/>
            </w:tcBorders>
            <w:shd w:val="clear" w:color="auto" w:fill="BCBEB5"/>
          </w:tcPr>
          <w:p w:rsidR="007610E5" w:rsidRDefault="007610E5" w:rsidP="007610E5">
            <w:pPr>
              <w:spacing w:before="60" w:after="60"/>
            </w:pPr>
          </w:p>
        </w:tc>
        <w:tc>
          <w:tcPr>
            <w:tcW w:w="2049" w:type="pct"/>
            <w:tcBorders>
              <w:top w:val="single" w:sz="4" w:space="0" w:color="000000"/>
              <w:left w:val="single" w:sz="4" w:space="0" w:color="000000"/>
              <w:bottom w:val="single" w:sz="4" w:space="0" w:color="000000"/>
              <w:right w:val="single" w:sz="4" w:space="0" w:color="000000"/>
            </w:tcBorders>
            <w:shd w:val="clear" w:color="auto" w:fill="BCBEB5"/>
          </w:tcPr>
          <w:p w:rsidR="007610E5" w:rsidRDefault="007610E5" w:rsidP="007610E5">
            <w:pPr>
              <w:spacing w:before="60" w:after="60"/>
            </w:pPr>
          </w:p>
        </w:tc>
      </w:tr>
      <w:tr w:rsidR="00224689" w:rsidTr="00A83557">
        <w:tc>
          <w:tcPr>
            <w:tcW w:w="172" w:type="pct"/>
            <w:tcBorders>
              <w:top w:val="single" w:sz="4" w:space="0" w:color="000000"/>
              <w:left w:val="single" w:sz="4" w:space="0" w:color="000000"/>
              <w:bottom w:val="single" w:sz="4" w:space="0" w:color="000000"/>
              <w:right w:val="single" w:sz="4" w:space="0" w:color="000000"/>
            </w:tcBorders>
          </w:tcPr>
          <w:p w:rsidR="007610E5" w:rsidRDefault="00877579" w:rsidP="007610E5">
            <w:pPr>
              <w:spacing w:before="60" w:after="60"/>
            </w:pPr>
            <w:r>
              <w:t>30</w:t>
            </w:r>
          </w:p>
        </w:tc>
        <w:tc>
          <w:tcPr>
            <w:tcW w:w="1093"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ind w:right="36"/>
            </w:pPr>
            <w:r>
              <w:t>The organisation abides by employment law.  This will include a number of employee benefits and rights areas including:</w:t>
            </w:r>
          </w:p>
          <w:p w:rsidR="007610E5" w:rsidRPr="007F066E" w:rsidRDefault="00725F76" w:rsidP="007610E5">
            <w:pPr>
              <w:pStyle w:val="ListParagraph"/>
              <w:numPr>
                <w:ilvl w:val="0"/>
                <w:numId w:val="2"/>
              </w:numPr>
              <w:spacing w:before="60" w:after="60"/>
              <w:ind w:left="284" w:hanging="284"/>
              <w:contextualSpacing w:val="0"/>
            </w:pPr>
            <w:r>
              <w:rPr>
                <w:color w:val="333333"/>
              </w:rPr>
              <w:t>t</w:t>
            </w:r>
            <w:r w:rsidR="007610E5" w:rsidRPr="007F066E">
              <w:rPr>
                <w:color w:val="333333"/>
              </w:rPr>
              <w:t xml:space="preserve">erms and conditions of </w:t>
            </w:r>
            <w:r>
              <w:rPr>
                <w:color w:val="333333"/>
              </w:rPr>
              <w:t>e</w:t>
            </w:r>
            <w:r w:rsidR="007610E5" w:rsidRPr="007F066E">
              <w:rPr>
                <w:color w:val="333333"/>
              </w:rPr>
              <w:t>mployment</w:t>
            </w:r>
            <w:r w:rsidR="007610E5">
              <w:rPr>
                <w:color w:val="333333"/>
              </w:rPr>
              <w:t xml:space="preserve"> and preparation of employee handbook</w:t>
            </w:r>
          </w:p>
          <w:p w:rsidR="007610E5" w:rsidRPr="007F066E" w:rsidRDefault="00725F76" w:rsidP="007610E5">
            <w:pPr>
              <w:pStyle w:val="ListParagraph"/>
              <w:numPr>
                <w:ilvl w:val="0"/>
                <w:numId w:val="2"/>
              </w:numPr>
              <w:spacing w:before="60" w:after="60"/>
              <w:ind w:left="284" w:hanging="284"/>
              <w:contextualSpacing w:val="0"/>
            </w:pPr>
            <w:r>
              <w:rPr>
                <w:color w:val="333333"/>
              </w:rPr>
              <w:t>h</w:t>
            </w:r>
            <w:r w:rsidRPr="007F066E">
              <w:rPr>
                <w:color w:val="333333"/>
              </w:rPr>
              <w:t xml:space="preserve">oliday </w:t>
            </w:r>
            <w:r w:rsidR="007610E5" w:rsidRPr="007F066E">
              <w:rPr>
                <w:color w:val="333333"/>
              </w:rPr>
              <w:t xml:space="preserve">entitlement and </w:t>
            </w:r>
            <w:r w:rsidR="007610E5" w:rsidRPr="007F066E">
              <w:rPr>
                <w:color w:val="333333"/>
              </w:rPr>
              <w:lastRenderedPageBreak/>
              <w:t>Statutory sick pay (SSP)</w:t>
            </w:r>
          </w:p>
          <w:p w:rsidR="007610E5" w:rsidRPr="007F066E" w:rsidRDefault="00725F76" w:rsidP="007610E5">
            <w:pPr>
              <w:pStyle w:val="ListParagraph"/>
              <w:numPr>
                <w:ilvl w:val="0"/>
                <w:numId w:val="2"/>
              </w:numPr>
              <w:spacing w:before="60" w:after="60"/>
              <w:ind w:left="284" w:hanging="284"/>
              <w:contextualSpacing w:val="0"/>
            </w:pPr>
            <w:r>
              <w:rPr>
                <w:color w:val="333333"/>
              </w:rPr>
              <w:t>w</w:t>
            </w:r>
            <w:r w:rsidRPr="007F066E">
              <w:rPr>
                <w:color w:val="333333"/>
              </w:rPr>
              <w:t xml:space="preserve">orking </w:t>
            </w:r>
            <w:r w:rsidR="007610E5" w:rsidRPr="007F066E">
              <w:rPr>
                <w:color w:val="333333"/>
              </w:rPr>
              <w:t>time regulations</w:t>
            </w:r>
          </w:p>
          <w:p w:rsidR="007610E5" w:rsidRPr="007F066E" w:rsidRDefault="007610E5" w:rsidP="007610E5">
            <w:pPr>
              <w:pStyle w:val="ListParagraph"/>
              <w:numPr>
                <w:ilvl w:val="0"/>
                <w:numId w:val="2"/>
              </w:numPr>
              <w:spacing w:before="60" w:after="60"/>
              <w:ind w:left="284" w:hanging="284"/>
              <w:contextualSpacing w:val="0"/>
            </w:pPr>
            <w:r w:rsidRPr="007F066E">
              <w:rPr>
                <w:color w:val="333333"/>
              </w:rPr>
              <w:t xml:space="preserve">National Minimum </w:t>
            </w:r>
            <w:r w:rsidR="0039193C">
              <w:rPr>
                <w:color w:val="333333"/>
              </w:rPr>
              <w:t>W</w:t>
            </w:r>
            <w:r w:rsidR="0039193C" w:rsidRPr="007F066E">
              <w:rPr>
                <w:color w:val="333333"/>
              </w:rPr>
              <w:t xml:space="preserve">age </w:t>
            </w:r>
            <w:r w:rsidRPr="007F066E">
              <w:rPr>
                <w:color w:val="333333"/>
              </w:rPr>
              <w:t>(NMW)</w:t>
            </w:r>
          </w:p>
          <w:p w:rsidR="007610E5" w:rsidRPr="007F066E" w:rsidRDefault="00725F76" w:rsidP="007610E5">
            <w:pPr>
              <w:pStyle w:val="ListParagraph"/>
              <w:numPr>
                <w:ilvl w:val="0"/>
                <w:numId w:val="2"/>
              </w:numPr>
              <w:spacing w:before="60" w:after="60"/>
              <w:ind w:left="284" w:hanging="284"/>
              <w:contextualSpacing w:val="0"/>
            </w:pPr>
            <w:r>
              <w:rPr>
                <w:color w:val="333333"/>
              </w:rPr>
              <w:t>t</w:t>
            </w:r>
            <w:r w:rsidRPr="007F066E">
              <w:rPr>
                <w:color w:val="333333"/>
              </w:rPr>
              <w:t xml:space="preserve">ax </w:t>
            </w:r>
            <w:r w:rsidR="007610E5" w:rsidRPr="007F066E">
              <w:rPr>
                <w:color w:val="333333"/>
              </w:rPr>
              <w:t>deductions and National Insurance</w:t>
            </w:r>
            <w:r>
              <w:rPr>
                <w:color w:val="333333"/>
              </w:rPr>
              <w:t xml:space="preserve"> C</w:t>
            </w:r>
            <w:r w:rsidR="007610E5">
              <w:rPr>
                <w:color w:val="333333"/>
              </w:rPr>
              <w:t>ontributions</w:t>
            </w:r>
            <w:r>
              <w:rPr>
                <w:color w:val="333333"/>
              </w:rPr>
              <w:t xml:space="preserve"> (NICs)</w:t>
            </w:r>
          </w:p>
          <w:p w:rsidR="007610E5" w:rsidRPr="007F066E" w:rsidRDefault="00725F76" w:rsidP="007610E5">
            <w:pPr>
              <w:pStyle w:val="ListParagraph"/>
              <w:numPr>
                <w:ilvl w:val="0"/>
                <w:numId w:val="2"/>
              </w:numPr>
              <w:spacing w:before="60" w:after="60"/>
              <w:ind w:left="284" w:hanging="284"/>
              <w:contextualSpacing w:val="0"/>
            </w:pPr>
            <w:r>
              <w:rPr>
                <w:color w:val="333333"/>
              </w:rPr>
              <w:t>m</w:t>
            </w:r>
            <w:r w:rsidR="007610E5" w:rsidRPr="007F066E">
              <w:rPr>
                <w:color w:val="333333"/>
              </w:rPr>
              <w:t>aternity, paternity and parental/carers’ rights</w:t>
            </w:r>
          </w:p>
          <w:p w:rsidR="007610E5" w:rsidRPr="007F066E" w:rsidRDefault="00725F76" w:rsidP="007610E5">
            <w:pPr>
              <w:pStyle w:val="ListParagraph"/>
              <w:numPr>
                <w:ilvl w:val="0"/>
                <w:numId w:val="2"/>
              </w:numPr>
              <w:spacing w:before="60" w:after="60"/>
              <w:ind w:left="284" w:hanging="284"/>
              <w:contextualSpacing w:val="0"/>
            </w:pPr>
            <w:r>
              <w:rPr>
                <w:color w:val="333333"/>
              </w:rPr>
              <w:t>h</w:t>
            </w:r>
            <w:r w:rsidRPr="007F066E">
              <w:rPr>
                <w:color w:val="333333"/>
              </w:rPr>
              <w:t>arassment</w:t>
            </w:r>
            <w:r w:rsidR="007610E5" w:rsidRPr="007F066E">
              <w:rPr>
                <w:color w:val="333333"/>
              </w:rPr>
              <w:t>, dismissal and grievance procedures</w:t>
            </w:r>
          </w:p>
          <w:p w:rsidR="007610E5" w:rsidRPr="007F066E" w:rsidRDefault="00725F76" w:rsidP="007610E5">
            <w:pPr>
              <w:pStyle w:val="ListParagraph"/>
              <w:numPr>
                <w:ilvl w:val="0"/>
                <w:numId w:val="2"/>
              </w:numPr>
              <w:spacing w:before="60" w:after="60"/>
              <w:ind w:left="284" w:hanging="284"/>
              <w:contextualSpacing w:val="0"/>
            </w:pPr>
            <w:r>
              <w:rPr>
                <w:color w:val="333333"/>
              </w:rPr>
              <w:t>r</w:t>
            </w:r>
            <w:r w:rsidRPr="007F066E">
              <w:rPr>
                <w:color w:val="333333"/>
              </w:rPr>
              <w:t>edundancy</w:t>
            </w:r>
          </w:p>
          <w:p w:rsidR="007610E5" w:rsidRPr="007F066E" w:rsidRDefault="00725F76" w:rsidP="007610E5">
            <w:pPr>
              <w:pStyle w:val="ListParagraph"/>
              <w:numPr>
                <w:ilvl w:val="0"/>
                <w:numId w:val="2"/>
              </w:numPr>
              <w:spacing w:before="60" w:after="60"/>
              <w:ind w:left="284" w:hanging="284"/>
              <w:contextualSpacing w:val="0"/>
            </w:pPr>
            <w:r>
              <w:rPr>
                <w:color w:val="333333"/>
              </w:rPr>
              <w:t>auto</w:t>
            </w:r>
            <w:r w:rsidR="007610E5">
              <w:rPr>
                <w:color w:val="333333"/>
              </w:rPr>
              <w:t>-enrolment</w:t>
            </w:r>
            <w:r w:rsidR="007610E5" w:rsidRPr="007F066E">
              <w:rPr>
                <w:color w:val="333333"/>
              </w:rPr>
              <w:t xml:space="preserve"> pensions</w:t>
            </w:r>
          </w:p>
          <w:p w:rsidR="007610E5" w:rsidRPr="007F066E" w:rsidRDefault="00725F76" w:rsidP="007610E5">
            <w:pPr>
              <w:pStyle w:val="ListParagraph"/>
              <w:numPr>
                <w:ilvl w:val="0"/>
                <w:numId w:val="2"/>
              </w:numPr>
              <w:spacing w:before="60" w:after="60"/>
              <w:ind w:left="284" w:hanging="284"/>
              <w:contextualSpacing w:val="0"/>
            </w:pPr>
            <w:proofErr w:type="gramStart"/>
            <w:r>
              <w:rPr>
                <w:color w:val="333333"/>
              </w:rPr>
              <w:t>whistleblowing</w:t>
            </w:r>
            <w:proofErr w:type="gramEnd"/>
            <w:r>
              <w:rPr>
                <w:color w:val="333333"/>
              </w:rPr>
              <w:t xml:space="preserve"> </w:t>
            </w:r>
            <w:r w:rsidR="007610E5">
              <w:rPr>
                <w:color w:val="333333"/>
              </w:rPr>
              <w:t>arrangements.</w:t>
            </w:r>
          </w:p>
        </w:tc>
        <w:tc>
          <w:tcPr>
            <w:tcW w:w="1686"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pPr>
            <w:r>
              <w:lastRenderedPageBreak/>
              <w:t xml:space="preserve">Have a method in place to provide specialist information – </w:t>
            </w:r>
            <w:proofErr w:type="spellStart"/>
            <w:r>
              <w:t>eg</w:t>
            </w:r>
            <w:proofErr w:type="spellEnd"/>
            <w:r>
              <w:t xml:space="preserve"> board member with HR oversight who advises managers, employ external HR consultants, or ensure that a lead member of staff is trained in employment law to provide this service for the organisation.</w:t>
            </w:r>
          </w:p>
          <w:p w:rsidR="007610E5" w:rsidRDefault="007610E5" w:rsidP="007610E5">
            <w:pPr>
              <w:spacing w:before="60" w:after="60"/>
            </w:pPr>
            <w:r>
              <w:t>Board members should have oversight of general terms and conditions of employment.  They should receive confirmation that processes have been followed.</w:t>
            </w:r>
          </w:p>
          <w:p w:rsidR="007610E5" w:rsidRDefault="007610E5" w:rsidP="007610E5">
            <w:pPr>
              <w:spacing w:before="60" w:after="60"/>
            </w:pPr>
            <w:r>
              <w:lastRenderedPageBreak/>
              <w:t>Volunteers should be clearly distinguished from employees and appropriate policies established in relation to volunteer recruitment and management. Care needs to be taken not to create binding obligations.</w:t>
            </w:r>
          </w:p>
        </w:tc>
        <w:tc>
          <w:tcPr>
            <w:tcW w:w="2049" w:type="pct"/>
            <w:tcBorders>
              <w:top w:val="single" w:sz="4" w:space="0" w:color="000000"/>
              <w:left w:val="single" w:sz="4" w:space="0" w:color="000000"/>
              <w:bottom w:val="single" w:sz="4" w:space="0" w:color="000000"/>
              <w:right w:val="single" w:sz="4" w:space="0" w:color="000000"/>
            </w:tcBorders>
          </w:tcPr>
          <w:p w:rsidR="007610E5" w:rsidRDefault="00515F45" w:rsidP="007610E5">
            <w:pPr>
              <w:spacing w:before="60" w:after="60"/>
            </w:pPr>
            <w:hyperlink r:id="rId54" w:history="1">
              <w:r w:rsidR="00CE6686">
                <w:rPr>
                  <w:rStyle w:val="Hyperlink"/>
                </w:rPr>
                <w:t>Staff handbook</w:t>
              </w:r>
            </w:hyperlink>
            <w:r w:rsidR="008D2A9D" w:rsidRPr="005E7ED9">
              <w:rPr>
                <w:rStyle w:val="Hyperlink"/>
                <w:color w:val="auto"/>
                <w:u w:val="none"/>
              </w:rPr>
              <w:t xml:space="preserve"> (customised documents £)</w:t>
            </w:r>
          </w:p>
          <w:p w:rsidR="0039193C" w:rsidRDefault="00515F45" w:rsidP="007610E5">
            <w:pPr>
              <w:spacing w:before="60" w:after="60"/>
            </w:pPr>
            <w:hyperlink r:id="rId55" w:history="1">
              <w:r w:rsidR="00CE6686">
                <w:rPr>
                  <w:rStyle w:val="Hyperlink"/>
                </w:rPr>
                <w:t>Employment documents</w:t>
              </w:r>
            </w:hyperlink>
            <w:r w:rsidR="008D2A9D" w:rsidRPr="005E7ED9">
              <w:rPr>
                <w:rStyle w:val="Hyperlink"/>
                <w:color w:val="auto"/>
                <w:u w:val="none"/>
              </w:rPr>
              <w:t xml:space="preserve"> (customised documents £)</w:t>
            </w:r>
          </w:p>
          <w:p w:rsidR="0039193C" w:rsidRDefault="00515F45" w:rsidP="007610E5">
            <w:pPr>
              <w:spacing w:before="60" w:after="60"/>
            </w:pPr>
            <w:hyperlink r:id="rId56" w:history="1">
              <w:r w:rsidR="0039193C">
                <w:rPr>
                  <w:rStyle w:val="Hyperlink"/>
                </w:rPr>
                <w:t>NCVO HR Advice Line</w:t>
              </w:r>
            </w:hyperlink>
            <w:r w:rsidR="0039193C">
              <w:t xml:space="preserve"> </w:t>
            </w:r>
            <w:r w:rsidR="008A76B4">
              <w:t>(free phone/email support)</w:t>
            </w:r>
          </w:p>
          <w:p w:rsidR="00BD47FE" w:rsidRDefault="00515F45" w:rsidP="007610E5">
            <w:pPr>
              <w:spacing w:before="60" w:after="60"/>
            </w:pPr>
            <w:hyperlink r:id="rId57" w:history="1">
              <w:r w:rsidR="00CE6686">
                <w:rPr>
                  <w:rStyle w:val="Hyperlink"/>
                </w:rPr>
                <w:t>HR and employment law</w:t>
              </w:r>
            </w:hyperlink>
            <w:r w:rsidR="00FC3A77">
              <w:t xml:space="preserve"> </w:t>
            </w:r>
            <w:r w:rsidR="008D2A9D">
              <w:t>(NCVO guidance and links to NCVO member templates)</w:t>
            </w:r>
          </w:p>
          <w:p w:rsidR="0039193C" w:rsidRDefault="0039193C" w:rsidP="007610E5">
            <w:pPr>
              <w:spacing w:before="60" w:after="60"/>
            </w:pPr>
          </w:p>
        </w:tc>
      </w:tr>
      <w:tr w:rsidR="00224689" w:rsidTr="005E7ED9">
        <w:tc>
          <w:tcPr>
            <w:tcW w:w="172" w:type="pct"/>
            <w:tcBorders>
              <w:top w:val="single" w:sz="4" w:space="0" w:color="000000"/>
              <w:left w:val="single" w:sz="4" w:space="0" w:color="000000"/>
              <w:bottom w:val="single" w:sz="4" w:space="0" w:color="000000"/>
              <w:right w:val="single" w:sz="4" w:space="0" w:color="000000"/>
            </w:tcBorders>
            <w:shd w:val="clear" w:color="auto" w:fill="BCBEB5"/>
          </w:tcPr>
          <w:p w:rsidR="007610E5" w:rsidRDefault="007610E5" w:rsidP="007610E5">
            <w:pPr>
              <w:spacing w:before="60" w:after="60"/>
            </w:pPr>
          </w:p>
        </w:tc>
        <w:tc>
          <w:tcPr>
            <w:tcW w:w="1093" w:type="pct"/>
            <w:tcBorders>
              <w:top w:val="single" w:sz="4" w:space="0" w:color="000000"/>
              <w:left w:val="single" w:sz="4" w:space="0" w:color="000000"/>
              <w:bottom w:val="single" w:sz="4" w:space="0" w:color="000000"/>
              <w:right w:val="single" w:sz="4" w:space="0" w:color="000000"/>
            </w:tcBorders>
            <w:shd w:val="clear" w:color="auto" w:fill="BCBEB5"/>
          </w:tcPr>
          <w:p w:rsidR="007610E5" w:rsidRPr="005E7ED9" w:rsidRDefault="007610E5" w:rsidP="005E7ED9">
            <w:pPr>
              <w:pStyle w:val="Heading3"/>
              <w:outlineLvl w:val="2"/>
            </w:pPr>
            <w:r w:rsidRPr="005E7ED9">
              <w:t>HMRC, Tax and NI</w:t>
            </w:r>
          </w:p>
        </w:tc>
        <w:tc>
          <w:tcPr>
            <w:tcW w:w="1686" w:type="pct"/>
            <w:tcBorders>
              <w:top w:val="single" w:sz="4" w:space="0" w:color="000000"/>
              <w:left w:val="single" w:sz="4" w:space="0" w:color="000000"/>
              <w:bottom w:val="single" w:sz="4" w:space="0" w:color="000000"/>
              <w:right w:val="single" w:sz="4" w:space="0" w:color="000000"/>
            </w:tcBorders>
            <w:shd w:val="clear" w:color="auto" w:fill="BCBEB5"/>
          </w:tcPr>
          <w:p w:rsidR="007610E5" w:rsidRDefault="007610E5" w:rsidP="007610E5">
            <w:pPr>
              <w:spacing w:before="60" w:after="60"/>
            </w:pPr>
          </w:p>
        </w:tc>
        <w:tc>
          <w:tcPr>
            <w:tcW w:w="2049" w:type="pct"/>
            <w:tcBorders>
              <w:top w:val="single" w:sz="4" w:space="0" w:color="000000"/>
              <w:left w:val="single" w:sz="4" w:space="0" w:color="000000"/>
              <w:bottom w:val="single" w:sz="4" w:space="0" w:color="000000"/>
              <w:right w:val="single" w:sz="4" w:space="0" w:color="000000"/>
            </w:tcBorders>
            <w:shd w:val="clear" w:color="auto" w:fill="BCBEB5"/>
          </w:tcPr>
          <w:p w:rsidR="007610E5" w:rsidRDefault="007610E5" w:rsidP="007610E5">
            <w:pPr>
              <w:spacing w:before="60" w:after="60"/>
            </w:pPr>
          </w:p>
        </w:tc>
      </w:tr>
      <w:tr w:rsidR="00224689" w:rsidTr="00A83557">
        <w:tc>
          <w:tcPr>
            <w:tcW w:w="172"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pPr>
            <w:r>
              <w:t>31</w:t>
            </w:r>
          </w:p>
        </w:tc>
        <w:tc>
          <w:tcPr>
            <w:tcW w:w="1093"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pPr>
            <w:r>
              <w:t>The organisation is registered as an employer with HMRC (Employer Registration).</w:t>
            </w:r>
          </w:p>
        </w:tc>
        <w:tc>
          <w:tcPr>
            <w:tcW w:w="1686"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pPr>
            <w:r>
              <w:t>Initial check that this is the case.</w:t>
            </w:r>
          </w:p>
        </w:tc>
        <w:tc>
          <w:tcPr>
            <w:tcW w:w="2049" w:type="pct"/>
            <w:tcBorders>
              <w:top w:val="single" w:sz="4" w:space="0" w:color="000000"/>
              <w:left w:val="single" w:sz="4" w:space="0" w:color="000000"/>
              <w:bottom w:val="single" w:sz="4" w:space="0" w:color="000000"/>
              <w:right w:val="single" w:sz="4" w:space="0" w:color="000000"/>
            </w:tcBorders>
          </w:tcPr>
          <w:p w:rsidR="00EF061B" w:rsidRDefault="00515F45">
            <w:pPr>
              <w:spacing w:before="60" w:after="60"/>
              <w:rPr>
                <w:rStyle w:val="Hyperlink"/>
                <w:rFonts w:eastAsiaTheme="minorHAnsi"/>
                <w:lang w:eastAsia="en-US"/>
              </w:rPr>
            </w:pPr>
            <w:hyperlink r:id="rId58" w:history="1">
              <w:r w:rsidR="00EF061B">
                <w:rPr>
                  <w:rStyle w:val="Hyperlink"/>
                </w:rPr>
                <w:t>Register as an employer</w:t>
              </w:r>
            </w:hyperlink>
            <w:r w:rsidR="008D2A9D" w:rsidRPr="005E7ED9">
              <w:rPr>
                <w:rStyle w:val="Hyperlink"/>
                <w:color w:val="auto"/>
                <w:u w:val="none"/>
              </w:rPr>
              <w:t xml:space="preserve"> (HMRC guidance)</w:t>
            </w:r>
          </w:p>
          <w:p w:rsidR="00897607" w:rsidRDefault="00515F45">
            <w:pPr>
              <w:spacing w:before="60" w:after="60"/>
            </w:pPr>
            <w:hyperlink r:id="rId59" w:history="1">
              <w:r w:rsidR="00EF061B">
                <w:rPr>
                  <w:rStyle w:val="Hyperlink"/>
                </w:rPr>
                <w:t>Employing staff for the first time</w:t>
              </w:r>
            </w:hyperlink>
            <w:r w:rsidR="00897607">
              <w:t xml:space="preserve"> </w:t>
            </w:r>
            <w:r w:rsidR="008A76B4">
              <w:t>(Government guidance)</w:t>
            </w:r>
          </w:p>
        </w:tc>
      </w:tr>
      <w:tr w:rsidR="00224689" w:rsidTr="00A83557">
        <w:tc>
          <w:tcPr>
            <w:tcW w:w="172"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pPr>
            <w:r>
              <w:t>32</w:t>
            </w:r>
          </w:p>
        </w:tc>
        <w:tc>
          <w:tcPr>
            <w:tcW w:w="1093"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ind w:right="32"/>
            </w:pPr>
            <w:r>
              <w:t>National Insurance Contributions are made and PAYE operated in accordance with requirements.</w:t>
            </w:r>
          </w:p>
        </w:tc>
        <w:tc>
          <w:tcPr>
            <w:tcW w:w="1686"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ind w:right="56"/>
            </w:pPr>
            <w:r>
              <w:t>Treasurer or appropriate staff member needs to confirm this to board meetings when discussing the annual accounts.  Also covered through audit.</w:t>
            </w:r>
          </w:p>
        </w:tc>
        <w:tc>
          <w:tcPr>
            <w:tcW w:w="2049" w:type="pct"/>
            <w:tcBorders>
              <w:top w:val="single" w:sz="4" w:space="0" w:color="000000"/>
              <w:left w:val="single" w:sz="4" w:space="0" w:color="000000"/>
              <w:bottom w:val="single" w:sz="4" w:space="0" w:color="000000"/>
              <w:right w:val="single" w:sz="4" w:space="0" w:color="000000"/>
            </w:tcBorders>
          </w:tcPr>
          <w:p w:rsidR="007610E5" w:rsidRDefault="00515F45" w:rsidP="007610E5">
            <w:pPr>
              <w:spacing w:before="60" w:after="60"/>
              <w:ind w:right="56"/>
            </w:pPr>
            <w:hyperlink r:id="rId60" w:history="1">
              <w:r w:rsidR="00EF061B">
                <w:rPr>
                  <w:rStyle w:val="Hyperlink"/>
                </w:rPr>
                <w:t>PAYE and payroll for employers</w:t>
              </w:r>
            </w:hyperlink>
            <w:r w:rsidR="008A76B4" w:rsidRPr="005E7ED9">
              <w:rPr>
                <w:rStyle w:val="Hyperlink"/>
                <w:color w:val="auto"/>
                <w:u w:val="none"/>
              </w:rPr>
              <w:t xml:space="preserve"> (HMRC guidance)</w:t>
            </w:r>
          </w:p>
          <w:p w:rsidR="0039193C" w:rsidRDefault="00515F45" w:rsidP="007610E5">
            <w:pPr>
              <w:spacing w:before="60" w:after="60"/>
              <w:ind w:right="56"/>
            </w:pPr>
            <w:hyperlink r:id="rId61" w:history="1">
              <w:r w:rsidR="00EF061B">
                <w:rPr>
                  <w:rStyle w:val="Hyperlink"/>
                </w:rPr>
                <w:t>National Insurance rates and categories</w:t>
              </w:r>
            </w:hyperlink>
            <w:r w:rsidR="008A76B4" w:rsidRPr="005E7ED9">
              <w:rPr>
                <w:rStyle w:val="Hyperlink"/>
                <w:color w:val="auto"/>
                <w:u w:val="none"/>
              </w:rPr>
              <w:t xml:space="preserve"> (HMRC guidance)</w:t>
            </w:r>
          </w:p>
          <w:p w:rsidR="0039193C" w:rsidRDefault="00515F45" w:rsidP="007610E5">
            <w:pPr>
              <w:spacing w:before="60" w:after="60"/>
              <w:ind w:right="56"/>
            </w:pPr>
            <w:hyperlink r:id="rId62" w:history="1">
              <w:r w:rsidR="00EF061B">
                <w:rPr>
                  <w:rStyle w:val="Hyperlink"/>
                </w:rPr>
                <w:t>FMP – payroll services supplier</w:t>
              </w:r>
            </w:hyperlink>
            <w:r w:rsidR="0039193C">
              <w:t xml:space="preserve"> </w:t>
            </w:r>
            <w:r w:rsidR="008A76B4">
              <w:t>(NCVO trusted supplier)</w:t>
            </w:r>
          </w:p>
        </w:tc>
      </w:tr>
      <w:tr w:rsidR="00224689" w:rsidTr="00A83557">
        <w:tc>
          <w:tcPr>
            <w:tcW w:w="172"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pPr>
            <w:r>
              <w:t>33</w:t>
            </w:r>
          </w:p>
        </w:tc>
        <w:tc>
          <w:tcPr>
            <w:tcW w:w="1093"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ind w:right="32"/>
            </w:pPr>
            <w:r>
              <w:t>Organisation is registered for VAT if required and VAT returns are made when required.</w:t>
            </w:r>
          </w:p>
        </w:tc>
        <w:tc>
          <w:tcPr>
            <w:tcW w:w="1686"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ind w:right="53"/>
            </w:pPr>
            <w:r>
              <w:t>Treasurer or appropriate staff member needs to confirm this to board meetings when discussing the annual accounts.  Also covered through audit.</w:t>
            </w:r>
          </w:p>
        </w:tc>
        <w:tc>
          <w:tcPr>
            <w:tcW w:w="2049" w:type="pct"/>
            <w:tcBorders>
              <w:top w:val="single" w:sz="4" w:space="0" w:color="000000"/>
              <w:left w:val="single" w:sz="4" w:space="0" w:color="000000"/>
              <w:bottom w:val="single" w:sz="4" w:space="0" w:color="000000"/>
              <w:right w:val="single" w:sz="4" w:space="0" w:color="000000"/>
            </w:tcBorders>
          </w:tcPr>
          <w:p w:rsidR="007610E5" w:rsidRDefault="00515F45" w:rsidP="007610E5">
            <w:pPr>
              <w:spacing w:before="60" w:after="60"/>
              <w:ind w:right="53"/>
            </w:pPr>
            <w:hyperlink r:id="rId63" w:history="1">
              <w:r w:rsidR="00EF061B">
                <w:rPr>
                  <w:rStyle w:val="Hyperlink"/>
                </w:rPr>
                <w:t>VAT registration</w:t>
              </w:r>
            </w:hyperlink>
            <w:r w:rsidR="008A76B4" w:rsidRPr="005E7ED9">
              <w:rPr>
                <w:rStyle w:val="Hyperlink"/>
                <w:color w:val="auto"/>
                <w:u w:val="none"/>
              </w:rPr>
              <w:t xml:space="preserve"> (HMRC guidance)</w:t>
            </w:r>
          </w:p>
          <w:p w:rsidR="0039193C" w:rsidRDefault="00515F45" w:rsidP="007610E5">
            <w:pPr>
              <w:spacing w:before="60" w:after="60"/>
              <w:ind w:right="53"/>
            </w:pPr>
            <w:hyperlink r:id="rId64" w:history="1">
              <w:proofErr w:type="spellStart"/>
              <w:r w:rsidR="00EF061B">
                <w:rPr>
                  <w:rStyle w:val="Hyperlink"/>
                </w:rPr>
                <w:t>Saffery</w:t>
              </w:r>
              <w:proofErr w:type="spellEnd"/>
              <w:r w:rsidR="00EF061B">
                <w:rPr>
                  <w:rStyle w:val="Hyperlink"/>
                </w:rPr>
                <w:t xml:space="preserve"> </w:t>
              </w:r>
              <w:proofErr w:type="spellStart"/>
              <w:r w:rsidR="00EF061B">
                <w:rPr>
                  <w:rStyle w:val="Hyperlink"/>
                </w:rPr>
                <w:t>Champness</w:t>
              </w:r>
              <w:proofErr w:type="spellEnd"/>
              <w:r w:rsidR="00EF061B">
                <w:rPr>
                  <w:rStyle w:val="Hyperlink"/>
                </w:rPr>
                <w:t xml:space="preserve"> – VAT support</w:t>
              </w:r>
            </w:hyperlink>
            <w:r w:rsidR="00877579">
              <w:t xml:space="preserve"> </w:t>
            </w:r>
            <w:r w:rsidR="008A76B4" w:rsidRPr="008A76B4">
              <w:t>(NCVO trusted supplier)</w:t>
            </w:r>
          </w:p>
        </w:tc>
      </w:tr>
      <w:tr w:rsidR="00224689" w:rsidTr="005E7ED9">
        <w:tc>
          <w:tcPr>
            <w:tcW w:w="172" w:type="pct"/>
            <w:tcBorders>
              <w:top w:val="single" w:sz="4" w:space="0" w:color="000000"/>
              <w:left w:val="single" w:sz="4" w:space="0" w:color="000000"/>
              <w:bottom w:val="single" w:sz="4" w:space="0" w:color="000000"/>
              <w:right w:val="single" w:sz="4" w:space="0" w:color="000000"/>
            </w:tcBorders>
            <w:shd w:val="clear" w:color="auto" w:fill="BCBEB5"/>
          </w:tcPr>
          <w:p w:rsidR="007610E5" w:rsidRDefault="007610E5" w:rsidP="007610E5">
            <w:pPr>
              <w:spacing w:before="60" w:after="60"/>
            </w:pPr>
          </w:p>
        </w:tc>
        <w:tc>
          <w:tcPr>
            <w:tcW w:w="1093" w:type="pct"/>
            <w:tcBorders>
              <w:top w:val="single" w:sz="4" w:space="0" w:color="000000"/>
              <w:left w:val="single" w:sz="4" w:space="0" w:color="000000"/>
              <w:bottom w:val="single" w:sz="4" w:space="0" w:color="000000"/>
              <w:right w:val="single" w:sz="4" w:space="0" w:color="000000"/>
            </w:tcBorders>
            <w:shd w:val="clear" w:color="auto" w:fill="BCBEB5"/>
          </w:tcPr>
          <w:p w:rsidR="007610E5" w:rsidRPr="005E7ED9" w:rsidRDefault="007610E5" w:rsidP="005E7ED9">
            <w:pPr>
              <w:pStyle w:val="Heading3"/>
              <w:outlineLvl w:val="2"/>
            </w:pPr>
            <w:r w:rsidRPr="005E7ED9">
              <w:t>Assets and Facilities</w:t>
            </w:r>
          </w:p>
        </w:tc>
        <w:tc>
          <w:tcPr>
            <w:tcW w:w="1686" w:type="pct"/>
            <w:tcBorders>
              <w:top w:val="single" w:sz="4" w:space="0" w:color="000000"/>
              <w:left w:val="single" w:sz="4" w:space="0" w:color="000000"/>
              <w:bottom w:val="single" w:sz="4" w:space="0" w:color="000000"/>
              <w:right w:val="single" w:sz="4" w:space="0" w:color="000000"/>
            </w:tcBorders>
            <w:shd w:val="clear" w:color="auto" w:fill="BCBEB5"/>
          </w:tcPr>
          <w:p w:rsidR="007610E5" w:rsidRDefault="007610E5" w:rsidP="007610E5">
            <w:pPr>
              <w:spacing w:before="60" w:after="60"/>
            </w:pPr>
          </w:p>
        </w:tc>
        <w:tc>
          <w:tcPr>
            <w:tcW w:w="2049" w:type="pct"/>
            <w:tcBorders>
              <w:top w:val="single" w:sz="4" w:space="0" w:color="000000"/>
              <w:left w:val="single" w:sz="4" w:space="0" w:color="000000"/>
              <w:bottom w:val="single" w:sz="4" w:space="0" w:color="000000"/>
              <w:right w:val="single" w:sz="4" w:space="0" w:color="000000"/>
            </w:tcBorders>
            <w:shd w:val="clear" w:color="auto" w:fill="BCBEB5"/>
          </w:tcPr>
          <w:p w:rsidR="007610E5" w:rsidRDefault="007610E5" w:rsidP="007610E5">
            <w:pPr>
              <w:spacing w:before="60" w:after="60"/>
            </w:pPr>
          </w:p>
        </w:tc>
      </w:tr>
      <w:tr w:rsidR="00224689" w:rsidTr="00A83557">
        <w:tc>
          <w:tcPr>
            <w:tcW w:w="172" w:type="pct"/>
            <w:tcBorders>
              <w:top w:val="single" w:sz="4" w:space="0" w:color="000000"/>
              <w:left w:val="single" w:sz="4" w:space="0" w:color="000000"/>
              <w:bottom w:val="single" w:sz="4" w:space="0" w:color="000000"/>
              <w:right w:val="single" w:sz="4" w:space="0" w:color="000000"/>
            </w:tcBorders>
          </w:tcPr>
          <w:p w:rsidR="007610E5" w:rsidRDefault="007610E5" w:rsidP="00877579">
            <w:pPr>
              <w:spacing w:before="60" w:after="60"/>
            </w:pPr>
            <w:r>
              <w:t>3</w:t>
            </w:r>
            <w:r w:rsidR="00877579">
              <w:t>4</w:t>
            </w:r>
          </w:p>
        </w:tc>
        <w:tc>
          <w:tcPr>
            <w:tcW w:w="1093"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pPr>
            <w:r>
              <w:t>Investments are properly and prudently managed.</w:t>
            </w:r>
          </w:p>
        </w:tc>
        <w:tc>
          <w:tcPr>
            <w:tcW w:w="1686"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pPr>
            <w:r>
              <w:t xml:space="preserve">Annual reviews of investment policy.  Review of investment managers, </w:t>
            </w:r>
            <w:proofErr w:type="spellStart"/>
            <w:r>
              <w:t>eg</w:t>
            </w:r>
            <w:proofErr w:type="spellEnd"/>
            <w:r>
              <w:t xml:space="preserve">. </w:t>
            </w:r>
            <w:proofErr w:type="gramStart"/>
            <w:r>
              <w:t>every</w:t>
            </w:r>
            <w:proofErr w:type="gramEnd"/>
            <w:r>
              <w:t xml:space="preserve"> 3 to 5 years.  Clear terms of delegation of investment management.  </w:t>
            </w:r>
            <w:r>
              <w:lastRenderedPageBreak/>
              <w:t>Surplus funds not needed in near term are suitably invested, taking account of risk and likely timing of use of funds.</w:t>
            </w:r>
          </w:p>
        </w:tc>
        <w:tc>
          <w:tcPr>
            <w:tcW w:w="2049" w:type="pct"/>
            <w:tcBorders>
              <w:top w:val="single" w:sz="4" w:space="0" w:color="000000"/>
              <w:left w:val="single" w:sz="4" w:space="0" w:color="000000"/>
              <w:bottom w:val="single" w:sz="4" w:space="0" w:color="000000"/>
              <w:right w:val="single" w:sz="4" w:space="0" w:color="000000"/>
            </w:tcBorders>
          </w:tcPr>
          <w:p w:rsidR="007610E5" w:rsidRPr="008A76B4" w:rsidRDefault="00515F45" w:rsidP="007610E5">
            <w:pPr>
              <w:spacing w:before="60" w:after="60"/>
            </w:pPr>
            <w:hyperlink r:id="rId65" w:history="1">
              <w:r w:rsidR="00EF061B">
                <w:rPr>
                  <w:rStyle w:val="Hyperlink"/>
                </w:rPr>
                <w:t>Charities and investment matters: A guide for trustees</w:t>
              </w:r>
            </w:hyperlink>
            <w:r w:rsidR="008A76B4" w:rsidRPr="005E7ED9">
              <w:rPr>
                <w:rStyle w:val="Hyperlink"/>
                <w:color w:val="auto"/>
                <w:u w:val="none"/>
              </w:rPr>
              <w:t xml:space="preserve"> (Charity Commission </w:t>
            </w:r>
            <w:r w:rsidR="008A76B4" w:rsidRPr="008A76B4">
              <w:rPr>
                <w:rStyle w:val="Hyperlink"/>
                <w:color w:val="auto"/>
                <w:u w:val="none"/>
              </w:rPr>
              <w:t>guidance</w:t>
            </w:r>
            <w:r w:rsidR="008A76B4" w:rsidRPr="005E7ED9">
              <w:rPr>
                <w:rStyle w:val="Hyperlink"/>
                <w:color w:val="auto"/>
                <w:u w:val="none"/>
              </w:rPr>
              <w:t>)</w:t>
            </w:r>
          </w:p>
          <w:p w:rsidR="0039193C" w:rsidRDefault="0039193C" w:rsidP="007610E5">
            <w:pPr>
              <w:spacing w:before="60" w:after="60"/>
            </w:pPr>
          </w:p>
        </w:tc>
      </w:tr>
      <w:tr w:rsidR="00224689" w:rsidTr="00A83557">
        <w:tc>
          <w:tcPr>
            <w:tcW w:w="172" w:type="pct"/>
            <w:tcBorders>
              <w:top w:val="single" w:sz="4" w:space="0" w:color="000000"/>
              <w:left w:val="single" w:sz="4" w:space="0" w:color="000000"/>
              <w:bottom w:val="single" w:sz="4" w:space="0" w:color="000000"/>
              <w:right w:val="single" w:sz="4" w:space="0" w:color="000000"/>
            </w:tcBorders>
          </w:tcPr>
          <w:p w:rsidR="007610E5" w:rsidRDefault="007610E5" w:rsidP="00877579">
            <w:pPr>
              <w:spacing w:before="60" w:after="60"/>
            </w:pPr>
            <w:r>
              <w:lastRenderedPageBreak/>
              <w:t>3</w:t>
            </w:r>
            <w:r w:rsidR="00877579">
              <w:t>5</w:t>
            </w:r>
          </w:p>
        </w:tc>
        <w:tc>
          <w:tcPr>
            <w:tcW w:w="1093"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pPr>
            <w:r>
              <w:t>Land and building disposals, acquisition and charging are undertaken in accordance with legal requirements.</w:t>
            </w:r>
          </w:p>
        </w:tc>
        <w:tc>
          <w:tcPr>
            <w:tcW w:w="1686" w:type="pct"/>
            <w:tcBorders>
              <w:top w:val="single" w:sz="4" w:space="0" w:color="000000"/>
              <w:left w:val="single" w:sz="4" w:space="0" w:color="000000"/>
              <w:bottom w:val="single" w:sz="4" w:space="0" w:color="000000"/>
              <w:right w:val="single" w:sz="4" w:space="0" w:color="000000"/>
            </w:tcBorders>
          </w:tcPr>
          <w:p w:rsidR="007610E5" w:rsidRDefault="007610E5" w:rsidP="007610E5">
            <w:pPr>
              <w:spacing w:before="60" w:after="60"/>
            </w:pPr>
            <w:r>
              <w:t>Charities are subject to special restrictions on these activities and lawyers should advise as appropriate.  “Land” is widely defined and includes, for example, a lease or even a right of way.  “Disposal” includes the grant of a lease or right of way, for example.</w:t>
            </w:r>
          </w:p>
        </w:tc>
        <w:tc>
          <w:tcPr>
            <w:tcW w:w="2049" w:type="pct"/>
            <w:tcBorders>
              <w:top w:val="single" w:sz="4" w:space="0" w:color="000000"/>
              <w:left w:val="single" w:sz="4" w:space="0" w:color="000000"/>
              <w:bottom w:val="single" w:sz="4" w:space="0" w:color="000000"/>
              <w:right w:val="single" w:sz="4" w:space="0" w:color="000000"/>
            </w:tcBorders>
          </w:tcPr>
          <w:p w:rsidR="007610E5" w:rsidRDefault="00515F45" w:rsidP="007610E5">
            <w:pPr>
              <w:spacing w:before="60" w:after="60"/>
            </w:pPr>
            <w:hyperlink r:id="rId66" w:history="1">
              <w:r w:rsidR="007610E5" w:rsidRPr="00897607">
                <w:rPr>
                  <w:rStyle w:val="Hyperlink"/>
                </w:rPr>
                <w:t>Get Legal</w:t>
              </w:r>
              <w:r w:rsidR="00897607" w:rsidRPr="00897607">
                <w:rPr>
                  <w:rStyle w:val="Hyperlink"/>
                </w:rPr>
                <w:t>: Guide for charities wishing to dispose of property</w:t>
              </w:r>
            </w:hyperlink>
            <w:r w:rsidR="008A76B4">
              <w:rPr>
                <w:rStyle w:val="Hyperlink"/>
              </w:rPr>
              <w:t xml:space="preserve"> </w:t>
            </w:r>
            <w:r w:rsidR="008A76B4" w:rsidRPr="005E7ED9">
              <w:rPr>
                <w:rStyle w:val="Hyperlink"/>
                <w:color w:val="auto"/>
                <w:u w:val="none"/>
              </w:rPr>
              <w:t>(customised document £)</w:t>
            </w:r>
          </w:p>
          <w:p w:rsidR="007610E5" w:rsidRDefault="00515F45" w:rsidP="007610E5">
            <w:pPr>
              <w:spacing w:before="60" w:after="60"/>
            </w:pPr>
            <w:hyperlink r:id="rId67" w:history="1">
              <w:r w:rsidR="007610E5" w:rsidRPr="00897607">
                <w:rPr>
                  <w:rStyle w:val="Hyperlink"/>
                </w:rPr>
                <w:t>Charity Property Help</w:t>
              </w:r>
            </w:hyperlink>
            <w:r w:rsidR="008A76B4" w:rsidRPr="005E7ED9">
              <w:rPr>
                <w:rStyle w:val="Hyperlink"/>
                <w:color w:val="auto"/>
                <w:u w:val="none"/>
              </w:rPr>
              <w:t xml:space="preserve"> (NCVO Trusted supplier – </w:t>
            </w:r>
            <w:r w:rsidR="008A76B4">
              <w:rPr>
                <w:rStyle w:val="Hyperlink"/>
                <w:color w:val="auto"/>
                <w:u w:val="none"/>
              </w:rPr>
              <w:t xml:space="preserve">free </w:t>
            </w:r>
            <w:r w:rsidR="008A76B4" w:rsidRPr="005E7ED9">
              <w:rPr>
                <w:rStyle w:val="Hyperlink"/>
                <w:color w:val="auto"/>
                <w:u w:val="none"/>
              </w:rPr>
              <w:t>advice)</w:t>
            </w:r>
          </w:p>
          <w:p w:rsidR="007610E5" w:rsidRDefault="00515F45" w:rsidP="007610E5">
            <w:pPr>
              <w:spacing w:before="60" w:after="60"/>
            </w:pPr>
            <w:hyperlink r:id="rId68" w:history="1">
              <w:r w:rsidR="007610E5" w:rsidRPr="00897607">
                <w:rPr>
                  <w:rStyle w:val="Hyperlink"/>
                </w:rPr>
                <w:t>Ethical Property Foundation</w:t>
              </w:r>
            </w:hyperlink>
            <w:r w:rsidR="008A76B4" w:rsidRPr="005E7ED9">
              <w:rPr>
                <w:rStyle w:val="Hyperlink"/>
                <w:color w:val="auto"/>
                <w:u w:val="none"/>
              </w:rPr>
              <w:t xml:space="preserve"> (free advice)</w:t>
            </w:r>
          </w:p>
        </w:tc>
      </w:tr>
    </w:tbl>
    <w:p w:rsidR="00777D82" w:rsidRDefault="00777D82">
      <w:pPr>
        <w:jc w:val="both"/>
      </w:pPr>
    </w:p>
    <w:p w:rsidR="00D23E51" w:rsidRDefault="00D23E51">
      <w:pPr>
        <w:jc w:val="both"/>
      </w:pPr>
    </w:p>
    <w:sectPr w:rsidR="00D23E51" w:rsidSect="00766DDE">
      <w:headerReference w:type="default" r:id="rId69"/>
      <w:footerReference w:type="even" r:id="rId70"/>
      <w:footerReference w:type="default" r:id="rId71"/>
      <w:footerReference w:type="first" r:id="rId72"/>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7A157" w16cid:durableId="1E36E2EC"/>
  <w16cid:commentId w16cid:paraId="79E1790A" w16cid:durableId="1E36E2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45" w:rsidRDefault="00515F45" w:rsidP="00777D82">
      <w:pPr>
        <w:spacing w:after="0" w:line="240" w:lineRule="auto"/>
      </w:pPr>
      <w:r>
        <w:separator/>
      </w:r>
    </w:p>
  </w:endnote>
  <w:endnote w:type="continuationSeparator" w:id="0">
    <w:p w:rsidR="00515F45" w:rsidRDefault="00515F45" w:rsidP="0077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3B" w:rsidRDefault="0005203B">
    <w:pPr>
      <w:spacing w:after="215"/>
    </w:pPr>
    <w:r>
      <w:rPr>
        <w:noProof/>
        <w:lang w:eastAsia="en-GB"/>
      </w:rPr>
      <w:drawing>
        <wp:anchor distT="0" distB="0" distL="114300" distR="114300" simplePos="0" relativeHeight="251655168" behindDoc="0" locked="0" layoutInCell="1" allowOverlap="0" wp14:anchorId="392F1D3A" wp14:editId="5F80FBEE">
          <wp:simplePos x="0" y="0"/>
          <wp:positionH relativeFrom="page">
            <wp:posOffset>270510</wp:posOffset>
          </wp:positionH>
          <wp:positionV relativeFrom="page">
            <wp:posOffset>8814435</wp:posOffset>
          </wp:positionV>
          <wp:extent cx="294005" cy="4476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94005" cy="447675"/>
                  </a:xfrm>
                  <a:prstGeom prst="rect">
                    <a:avLst/>
                  </a:prstGeom>
                </pic:spPr>
              </pic:pic>
            </a:graphicData>
          </a:graphic>
        </wp:anchor>
      </w:drawing>
    </w:r>
    <w:r>
      <w:rPr>
        <w:noProof/>
        <w:lang w:eastAsia="en-GB"/>
      </w:rPr>
      <w:drawing>
        <wp:anchor distT="0" distB="0" distL="114300" distR="114300" simplePos="0" relativeHeight="251657216" behindDoc="0" locked="0" layoutInCell="1" allowOverlap="0" wp14:anchorId="724DCCB3" wp14:editId="2DB2D6CE">
          <wp:simplePos x="0" y="0"/>
          <wp:positionH relativeFrom="page">
            <wp:posOffset>5051425</wp:posOffset>
          </wp:positionH>
          <wp:positionV relativeFrom="page">
            <wp:posOffset>8814436</wp:posOffset>
          </wp:positionV>
          <wp:extent cx="2654935" cy="43307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2654935" cy="433070"/>
                  </a:xfrm>
                  <a:prstGeom prst="rect">
                    <a:avLst/>
                  </a:prstGeom>
                </pic:spPr>
              </pic:pic>
            </a:graphicData>
          </a:graphic>
        </wp:anchor>
      </w:drawing>
    </w:r>
    <w:r>
      <w:rPr>
        <w:sz w:val="16"/>
      </w:rPr>
      <w:t xml:space="preserve">This template was developed by the GRCC Performance Improvement For All (PIFA) Project.  </w:t>
    </w:r>
  </w:p>
  <w:p w:rsidR="0005203B" w:rsidRDefault="0005203B">
    <w:pPr>
      <w:spacing w:after="230"/>
    </w:pPr>
    <w:r>
      <w:rPr>
        <w:sz w:val="16"/>
      </w:rPr>
      <w:t xml:space="preserve">The PIFA Project is funded by the National Lottery through the Big Lottery Fund                   </w:t>
    </w:r>
    <w:r>
      <w:fldChar w:fldCharType="begin"/>
    </w:r>
    <w:r>
      <w:instrText xml:space="preserve"> PAGE   \* MERGEFORMAT </w:instrText>
    </w:r>
    <w:r>
      <w:fldChar w:fldCharType="separate"/>
    </w:r>
    <w:r>
      <w:rPr>
        <w:sz w:val="16"/>
      </w:rPr>
      <w:t>1</w:t>
    </w:r>
    <w:r>
      <w:rPr>
        <w:sz w:val="16"/>
      </w:rPr>
      <w:fldChar w:fldCharType="end"/>
    </w:r>
    <w:r>
      <w:rPr>
        <w:rFonts w:ascii="Calibri" w:eastAsia="Calibri" w:hAnsi="Calibri" w:cs="Calibri"/>
        <w:sz w:val="20"/>
      </w:rPr>
      <w:t xml:space="preserve"> </w:t>
    </w:r>
  </w:p>
  <w:p w:rsidR="0005203B" w:rsidRDefault="0005203B">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77" w:rsidRDefault="002D0477" w:rsidP="002D0477">
    <w:pPr>
      <w:pStyle w:val="Header"/>
    </w:pPr>
  </w:p>
  <w:p w:rsidR="002D0477" w:rsidRPr="006F42D4" w:rsidRDefault="002D0477" w:rsidP="002D0477">
    <w:pPr>
      <w:pStyle w:val="Footer"/>
      <w:rPr>
        <w:sz w:val="20"/>
        <w:szCs w:val="20"/>
      </w:rPr>
    </w:pPr>
    <w:r w:rsidRPr="006F42D4">
      <w:rPr>
        <w:noProof/>
        <w:sz w:val="20"/>
        <w:szCs w:val="20"/>
        <w:lang w:val="en-GB" w:eastAsia="en-GB"/>
      </w:rPr>
      <w:drawing>
        <wp:anchor distT="0" distB="0" distL="114300" distR="114300" simplePos="0" relativeHeight="251662336" behindDoc="0" locked="0" layoutInCell="1" allowOverlap="1">
          <wp:simplePos x="0" y="0"/>
          <wp:positionH relativeFrom="column">
            <wp:posOffset>8639175</wp:posOffset>
          </wp:positionH>
          <wp:positionV relativeFrom="paragraph">
            <wp:posOffset>12065</wp:posOffset>
          </wp:positionV>
          <wp:extent cx="1114425" cy="536575"/>
          <wp:effectExtent l="0" t="0" r="9525" b="0"/>
          <wp:wrapNone/>
          <wp:docPr id="2" name="Picture 2" descr="G:\ INTRANET\COMMUNICATIONS\Brand and logos\Logos\Main NCVO logo\Logo without strapline\PNG (digital use and office printing)\Small\NCVO_logo_purp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INTRANET\COMMUNICATIONS\Brand and logos\Logos\Main NCVO logo\Logo without strapline\PNG (digital use and office printing)\Small\NCVO_logo_purple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536575"/>
                  </a:xfrm>
                  <a:prstGeom prst="rect">
                    <a:avLst/>
                  </a:prstGeom>
                  <a:noFill/>
                  <a:ln>
                    <a:noFill/>
                  </a:ln>
                </pic:spPr>
              </pic:pic>
            </a:graphicData>
          </a:graphic>
        </wp:anchor>
      </w:drawing>
    </w:r>
    <w:r w:rsidR="006F42D4" w:rsidRPr="006F42D4">
      <w:rPr>
        <w:sz w:val="20"/>
        <w:szCs w:val="20"/>
      </w:rPr>
      <w:t>This checklist is adapted from an original produced by the Gloucestershire Rural Community Council’s Performance Improvement For All (PIFA) project.</w:t>
    </w:r>
    <w:r w:rsidRPr="006F42D4">
      <w:rPr>
        <w:sz w:val="20"/>
        <w:szCs w:val="20"/>
      </w:rPr>
      <w:t xml:space="preserve"> </w:t>
    </w:r>
  </w:p>
  <w:p w:rsidR="0005203B" w:rsidRPr="006F42D4" w:rsidRDefault="002D0477" w:rsidP="005E7ED9">
    <w:pPr>
      <w:pStyle w:val="Footer"/>
      <w:rPr>
        <w:sz w:val="20"/>
        <w:szCs w:val="20"/>
      </w:rPr>
    </w:pPr>
    <w:r w:rsidRPr="006F42D4">
      <w:rPr>
        <w:sz w:val="20"/>
        <w:szCs w:val="20"/>
      </w:rPr>
      <w:t>It’s meant as a guide and does not constitute legal advice.</w:t>
    </w:r>
    <w:r w:rsidRPr="006F42D4">
      <w:rPr>
        <w:noProof/>
        <w:sz w:val="20"/>
        <w:szCs w:val="20"/>
        <w:lang w:eastAsia="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3B" w:rsidRDefault="0005203B">
    <w:pPr>
      <w:spacing w:after="215"/>
    </w:pPr>
    <w:r>
      <w:rPr>
        <w:noProof/>
        <w:lang w:eastAsia="en-GB"/>
      </w:rPr>
      <w:drawing>
        <wp:anchor distT="0" distB="0" distL="114300" distR="114300" simplePos="0" relativeHeight="251659264" behindDoc="0" locked="0" layoutInCell="1" allowOverlap="0" wp14:anchorId="40E76657" wp14:editId="084DF8B7">
          <wp:simplePos x="0" y="0"/>
          <wp:positionH relativeFrom="page">
            <wp:posOffset>270510</wp:posOffset>
          </wp:positionH>
          <wp:positionV relativeFrom="page">
            <wp:posOffset>8814435</wp:posOffset>
          </wp:positionV>
          <wp:extent cx="294005" cy="4476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94005" cy="447675"/>
                  </a:xfrm>
                  <a:prstGeom prst="rect">
                    <a:avLst/>
                  </a:prstGeom>
                </pic:spPr>
              </pic:pic>
            </a:graphicData>
          </a:graphic>
        </wp:anchor>
      </w:drawing>
    </w:r>
    <w:r>
      <w:rPr>
        <w:noProof/>
        <w:lang w:eastAsia="en-GB"/>
      </w:rPr>
      <w:drawing>
        <wp:anchor distT="0" distB="0" distL="114300" distR="114300" simplePos="0" relativeHeight="251661312" behindDoc="0" locked="0" layoutInCell="1" allowOverlap="0" wp14:anchorId="324B478B" wp14:editId="0D0468C8">
          <wp:simplePos x="0" y="0"/>
          <wp:positionH relativeFrom="page">
            <wp:posOffset>5051425</wp:posOffset>
          </wp:positionH>
          <wp:positionV relativeFrom="page">
            <wp:posOffset>8814436</wp:posOffset>
          </wp:positionV>
          <wp:extent cx="2654935" cy="43307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2654935" cy="433070"/>
                  </a:xfrm>
                  <a:prstGeom prst="rect">
                    <a:avLst/>
                  </a:prstGeom>
                </pic:spPr>
              </pic:pic>
            </a:graphicData>
          </a:graphic>
        </wp:anchor>
      </w:drawing>
    </w:r>
    <w:r>
      <w:rPr>
        <w:sz w:val="16"/>
      </w:rPr>
      <w:t xml:space="preserve">This template was developed by the GRCC Performance Improvement For All (PIFA) Project.  </w:t>
    </w:r>
  </w:p>
  <w:p w:rsidR="0005203B" w:rsidRDefault="0005203B">
    <w:pPr>
      <w:spacing w:after="230"/>
    </w:pPr>
    <w:r>
      <w:rPr>
        <w:sz w:val="16"/>
      </w:rPr>
      <w:t xml:space="preserve">The PIFA Project is funded by the National Lottery through the Big Lottery Fund                   </w:t>
    </w:r>
    <w:r>
      <w:fldChar w:fldCharType="begin"/>
    </w:r>
    <w:r>
      <w:instrText xml:space="preserve"> PAGE   \* MERGEFORMAT </w:instrText>
    </w:r>
    <w:r>
      <w:fldChar w:fldCharType="separate"/>
    </w:r>
    <w:r>
      <w:rPr>
        <w:sz w:val="16"/>
      </w:rPr>
      <w:t>1</w:t>
    </w:r>
    <w:r>
      <w:rPr>
        <w:sz w:val="16"/>
      </w:rPr>
      <w:fldChar w:fldCharType="end"/>
    </w:r>
    <w:r>
      <w:rPr>
        <w:rFonts w:ascii="Calibri" w:eastAsia="Calibri" w:hAnsi="Calibri" w:cs="Calibri"/>
        <w:sz w:val="20"/>
      </w:rPr>
      <w:t xml:space="preserve"> </w:t>
    </w:r>
  </w:p>
  <w:p w:rsidR="0005203B" w:rsidRDefault="0005203B">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45" w:rsidRDefault="00515F45" w:rsidP="00777D82">
      <w:pPr>
        <w:spacing w:after="0" w:line="240" w:lineRule="auto"/>
      </w:pPr>
      <w:r>
        <w:separator/>
      </w:r>
    </w:p>
  </w:footnote>
  <w:footnote w:type="continuationSeparator" w:id="0">
    <w:p w:rsidR="00515F45" w:rsidRDefault="00515F45" w:rsidP="00777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77" w:rsidRDefault="002D0477" w:rsidP="002D0477">
    <w:pPr>
      <w:pStyle w:val="Header"/>
    </w:pPr>
    <w:r w:rsidRPr="00D754E9">
      <w:rPr>
        <w:b/>
      </w:rPr>
      <w:t xml:space="preserve">NCVO </w:t>
    </w:r>
    <w:r>
      <w:rPr>
        <w:b/>
      </w:rPr>
      <w:t xml:space="preserve">Knowhow </w:t>
    </w:r>
    <w:proofErr w:type="spellStart"/>
    <w:r>
      <w:rPr>
        <w:b/>
      </w:rPr>
      <w:t>Nonprofit</w:t>
    </w:r>
    <w:proofErr w:type="spellEnd"/>
    <w:r>
      <w:rPr>
        <w:b/>
      </w:rPr>
      <w:br/>
    </w:r>
    <w:r>
      <w:t>Legal checklist for charity boards</w:t>
    </w:r>
  </w:p>
  <w:p w:rsidR="002D0477" w:rsidRDefault="00515F45" w:rsidP="002D0477">
    <w:pPr>
      <w:pStyle w:val="Header"/>
    </w:pPr>
    <w:hyperlink r:id="rId1" w:history="1">
      <w:proofErr w:type="gramStart"/>
      <w:r w:rsidR="002D0477" w:rsidRPr="00121554">
        <w:rPr>
          <w:rStyle w:val="Hyperlink"/>
        </w:rPr>
        <w:t>knowhownonprofit.org</w:t>
      </w:r>
    </w:hyperlink>
    <w:r w:rsidR="002D0477">
      <w:rPr>
        <w:rStyle w:val="Hyperlink"/>
      </w:rPr>
      <w:t>/tools-resources</w:t>
    </w:r>
    <w:proofErr w:type="gramEnd"/>
  </w:p>
  <w:p w:rsidR="002D0477" w:rsidRDefault="002D0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4555"/>
    <w:multiLevelType w:val="hybridMultilevel"/>
    <w:tmpl w:val="2D9A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342263"/>
    <w:multiLevelType w:val="hybridMultilevel"/>
    <w:tmpl w:val="63A8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82"/>
    <w:rsid w:val="000024FD"/>
    <w:rsid w:val="0005203B"/>
    <w:rsid w:val="00096139"/>
    <w:rsid w:val="000B08B9"/>
    <w:rsid w:val="000B398C"/>
    <w:rsid w:val="000E6FE6"/>
    <w:rsid w:val="000F3CEB"/>
    <w:rsid w:val="001037EC"/>
    <w:rsid w:val="001476C8"/>
    <w:rsid w:val="001816A5"/>
    <w:rsid w:val="001A20BE"/>
    <w:rsid w:val="001A77AA"/>
    <w:rsid w:val="001C2D03"/>
    <w:rsid w:val="0020602D"/>
    <w:rsid w:val="00224689"/>
    <w:rsid w:val="00252D04"/>
    <w:rsid w:val="002A5177"/>
    <w:rsid w:val="002D0477"/>
    <w:rsid w:val="003037D9"/>
    <w:rsid w:val="00343E5B"/>
    <w:rsid w:val="00370CFA"/>
    <w:rsid w:val="00371672"/>
    <w:rsid w:val="0038447B"/>
    <w:rsid w:val="00385700"/>
    <w:rsid w:val="0039193C"/>
    <w:rsid w:val="003D0996"/>
    <w:rsid w:val="003D7811"/>
    <w:rsid w:val="00443CEF"/>
    <w:rsid w:val="004E6FEE"/>
    <w:rsid w:val="00515F45"/>
    <w:rsid w:val="00533E3D"/>
    <w:rsid w:val="00544721"/>
    <w:rsid w:val="005E7ED9"/>
    <w:rsid w:val="005F0251"/>
    <w:rsid w:val="005F071D"/>
    <w:rsid w:val="00637F1B"/>
    <w:rsid w:val="00674BE8"/>
    <w:rsid w:val="006F42D4"/>
    <w:rsid w:val="00725F76"/>
    <w:rsid w:val="0073433C"/>
    <w:rsid w:val="00740C75"/>
    <w:rsid w:val="007610E5"/>
    <w:rsid w:val="00766DDE"/>
    <w:rsid w:val="007731E2"/>
    <w:rsid w:val="00777D82"/>
    <w:rsid w:val="007B1030"/>
    <w:rsid w:val="007B679C"/>
    <w:rsid w:val="007E6961"/>
    <w:rsid w:val="007F066E"/>
    <w:rsid w:val="00806856"/>
    <w:rsid w:val="00807791"/>
    <w:rsid w:val="00835C3F"/>
    <w:rsid w:val="00877579"/>
    <w:rsid w:val="00894F14"/>
    <w:rsid w:val="00897607"/>
    <w:rsid w:val="008A76B4"/>
    <w:rsid w:val="008C2220"/>
    <w:rsid w:val="008D2A9D"/>
    <w:rsid w:val="008D7436"/>
    <w:rsid w:val="008D748C"/>
    <w:rsid w:val="008E584C"/>
    <w:rsid w:val="0091577C"/>
    <w:rsid w:val="009329C3"/>
    <w:rsid w:val="009C761F"/>
    <w:rsid w:val="00A038D2"/>
    <w:rsid w:val="00A81771"/>
    <w:rsid w:val="00A83557"/>
    <w:rsid w:val="00AA39F5"/>
    <w:rsid w:val="00AD37CE"/>
    <w:rsid w:val="00AD568B"/>
    <w:rsid w:val="00AF2B25"/>
    <w:rsid w:val="00BD47FE"/>
    <w:rsid w:val="00BE11F1"/>
    <w:rsid w:val="00C5297F"/>
    <w:rsid w:val="00C54C29"/>
    <w:rsid w:val="00C732E9"/>
    <w:rsid w:val="00CB4697"/>
    <w:rsid w:val="00CE6686"/>
    <w:rsid w:val="00D078F9"/>
    <w:rsid w:val="00D211A6"/>
    <w:rsid w:val="00D23E51"/>
    <w:rsid w:val="00D32619"/>
    <w:rsid w:val="00D47C24"/>
    <w:rsid w:val="00D673DD"/>
    <w:rsid w:val="00DA4BEF"/>
    <w:rsid w:val="00E02812"/>
    <w:rsid w:val="00E0440E"/>
    <w:rsid w:val="00E40F31"/>
    <w:rsid w:val="00E75A33"/>
    <w:rsid w:val="00EC3716"/>
    <w:rsid w:val="00EE2980"/>
    <w:rsid w:val="00EE6925"/>
    <w:rsid w:val="00EF061B"/>
    <w:rsid w:val="00F33559"/>
    <w:rsid w:val="00F40B98"/>
    <w:rsid w:val="00F96FD2"/>
    <w:rsid w:val="00FA5439"/>
    <w:rsid w:val="00FC3A77"/>
    <w:rsid w:val="00FF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137"/>
    <w:pPr>
      <w:keepNext/>
      <w:keepLines/>
      <w:spacing w:before="240" w:after="0"/>
      <w:outlineLvl w:val="0"/>
    </w:pPr>
    <w:rPr>
      <w:rFonts w:eastAsiaTheme="majorEastAsia" w:cstheme="majorBidi"/>
      <w:b/>
      <w:color w:val="522A6B"/>
      <w:sz w:val="48"/>
      <w:szCs w:val="32"/>
    </w:rPr>
  </w:style>
  <w:style w:type="paragraph" w:styleId="Heading2">
    <w:name w:val="heading 2"/>
    <w:basedOn w:val="Normal"/>
    <w:next w:val="Normal"/>
    <w:link w:val="Heading2Char"/>
    <w:uiPriority w:val="9"/>
    <w:unhideWhenUsed/>
    <w:qFormat/>
    <w:rsid w:val="00FF0137"/>
    <w:pPr>
      <w:keepNext/>
      <w:keepLines/>
      <w:spacing w:before="40" w:after="0"/>
      <w:outlineLvl w:val="1"/>
    </w:pPr>
    <w:rPr>
      <w:rFonts w:eastAsiaTheme="majorEastAsia" w:cstheme="majorBidi"/>
      <w:b/>
      <w:color w:val="522A6B"/>
      <w:sz w:val="24"/>
      <w:szCs w:val="26"/>
    </w:rPr>
  </w:style>
  <w:style w:type="paragraph" w:styleId="Heading3">
    <w:name w:val="heading 3"/>
    <w:basedOn w:val="Normal"/>
    <w:next w:val="Normal"/>
    <w:link w:val="Heading3Char"/>
    <w:uiPriority w:val="9"/>
    <w:unhideWhenUsed/>
    <w:qFormat/>
    <w:rsid w:val="00FF0137"/>
    <w:pPr>
      <w:keepNext/>
      <w:keepLines/>
      <w:spacing w:before="40" w:after="0"/>
      <w:outlineLvl w:val="2"/>
    </w:pPr>
    <w:rPr>
      <w:rFonts w:eastAsiaTheme="majorEastAsia" w:cstheme="majorBidi"/>
      <w:b/>
      <w:color w:val="522A6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77D82"/>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77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82"/>
  </w:style>
  <w:style w:type="character" w:styleId="CommentReference">
    <w:name w:val="annotation reference"/>
    <w:basedOn w:val="DefaultParagraphFont"/>
    <w:uiPriority w:val="99"/>
    <w:semiHidden/>
    <w:unhideWhenUsed/>
    <w:rsid w:val="00A038D2"/>
    <w:rPr>
      <w:sz w:val="16"/>
      <w:szCs w:val="16"/>
    </w:rPr>
  </w:style>
  <w:style w:type="paragraph" w:styleId="CommentText">
    <w:name w:val="annotation text"/>
    <w:basedOn w:val="Normal"/>
    <w:link w:val="CommentTextChar"/>
    <w:uiPriority w:val="99"/>
    <w:semiHidden/>
    <w:unhideWhenUsed/>
    <w:rsid w:val="00A038D2"/>
    <w:pPr>
      <w:spacing w:line="240" w:lineRule="auto"/>
    </w:pPr>
    <w:rPr>
      <w:sz w:val="20"/>
      <w:szCs w:val="20"/>
    </w:rPr>
  </w:style>
  <w:style w:type="character" w:customStyle="1" w:styleId="CommentTextChar">
    <w:name w:val="Comment Text Char"/>
    <w:basedOn w:val="DefaultParagraphFont"/>
    <w:link w:val="CommentText"/>
    <w:uiPriority w:val="99"/>
    <w:semiHidden/>
    <w:rsid w:val="00A038D2"/>
    <w:rPr>
      <w:sz w:val="20"/>
      <w:szCs w:val="20"/>
    </w:rPr>
  </w:style>
  <w:style w:type="paragraph" w:styleId="CommentSubject">
    <w:name w:val="annotation subject"/>
    <w:basedOn w:val="CommentText"/>
    <w:next w:val="CommentText"/>
    <w:link w:val="CommentSubjectChar"/>
    <w:uiPriority w:val="99"/>
    <w:semiHidden/>
    <w:unhideWhenUsed/>
    <w:rsid w:val="00A038D2"/>
    <w:rPr>
      <w:b/>
      <w:bCs/>
    </w:rPr>
  </w:style>
  <w:style w:type="character" w:customStyle="1" w:styleId="CommentSubjectChar">
    <w:name w:val="Comment Subject Char"/>
    <w:basedOn w:val="CommentTextChar"/>
    <w:link w:val="CommentSubject"/>
    <w:uiPriority w:val="99"/>
    <w:semiHidden/>
    <w:rsid w:val="00A038D2"/>
    <w:rPr>
      <w:b/>
      <w:bCs/>
      <w:sz w:val="20"/>
      <w:szCs w:val="20"/>
    </w:rPr>
  </w:style>
  <w:style w:type="paragraph" w:styleId="BalloonText">
    <w:name w:val="Balloon Text"/>
    <w:basedOn w:val="Normal"/>
    <w:link w:val="BalloonTextChar"/>
    <w:uiPriority w:val="99"/>
    <w:semiHidden/>
    <w:unhideWhenUsed/>
    <w:rsid w:val="00A0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D2"/>
    <w:rPr>
      <w:rFonts w:ascii="Tahoma" w:hAnsi="Tahoma" w:cs="Tahoma"/>
      <w:sz w:val="16"/>
      <w:szCs w:val="16"/>
    </w:rPr>
  </w:style>
  <w:style w:type="paragraph" w:styleId="ListParagraph">
    <w:name w:val="List Paragraph"/>
    <w:basedOn w:val="Normal"/>
    <w:uiPriority w:val="34"/>
    <w:qFormat/>
    <w:rsid w:val="00BE11F1"/>
    <w:pPr>
      <w:ind w:left="720"/>
      <w:contextualSpacing/>
    </w:pPr>
  </w:style>
  <w:style w:type="paragraph" w:styleId="FootnoteText">
    <w:name w:val="footnote text"/>
    <w:basedOn w:val="Normal"/>
    <w:link w:val="FootnoteTextChar"/>
    <w:uiPriority w:val="99"/>
    <w:semiHidden/>
    <w:unhideWhenUsed/>
    <w:rsid w:val="00BE1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1F1"/>
    <w:rPr>
      <w:sz w:val="20"/>
      <w:szCs w:val="20"/>
    </w:rPr>
  </w:style>
  <w:style w:type="character" w:styleId="FootnoteReference">
    <w:name w:val="footnote reference"/>
    <w:basedOn w:val="DefaultParagraphFont"/>
    <w:uiPriority w:val="99"/>
    <w:semiHidden/>
    <w:unhideWhenUsed/>
    <w:rsid w:val="00BE11F1"/>
    <w:rPr>
      <w:vertAlign w:val="superscript"/>
    </w:rPr>
  </w:style>
  <w:style w:type="character" w:styleId="Hyperlink">
    <w:name w:val="Hyperlink"/>
    <w:basedOn w:val="DefaultParagraphFont"/>
    <w:uiPriority w:val="99"/>
    <w:unhideWhenUsed/>
    <w:rsid w:val="00835C3F"/>
    <w:rPr>
      <w:color w:val="0563C1" w:themeColor="hyperlink"/>
      <w:u w:val="single"/>
    </w:rPr>
  </w:style>
  <w:style w:type="character" w:styleId="FollowedHyperlink">
    <w:name w:val="FollowedHyperlink"/>
    <w:basedOn w:val="DefaultParagraphFont"/>
    <w:uiPriority w:val="99"/>
    <w:semiHidden/>
    <w:unhideWhenUsed/>
    <w:rsid w:val="000B08B9"/>
    <w:rPr>
      <w:color w:val="954F72" w:themeColor="followedHyperlink"/>
      <w:u w:val="single"/>
    </w:rPr>
  </w:style>
  <w:style w:type="table" w:customStyle="1" w:styleId="TableGrid1">
    <w:name w:val="TableGrid1"/>
    <w:rsid w:val="00740C7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2A5177"/>
    <w:rPr>
      <w:color w:val="808080"/>
      <w:shd w:val="clear" w:color="auto" w:fill="E6E6E6"/>
    </w:rPr>
  </w:style>
  <w:style w:type="character" w:customStyle="1" w:styleId="Heading1Char">
    <w:name w:val="Heading 1 Char"/>
    <w:basedOn w:val="DefaultParagraphFont"/>
    <w:link w:val="Heading1"/>
    <w:uiPriority w:val="9"/>
    <w:rsid w:val="00FF0137"/>
    <w:rPr>
      <w:rFonts w:eastAsiaTheme="majorEastAsia" w:cstheme="majorBidi"/>
      <w:b/>
      <w:color w:val="522A6B"/>
      <w:sz w:val="48"/>
      <w:szCs w:val="32"/>
    </w:rPr>
  </w:style>
  <w:style w:type="character" w:customStyle="1" w:styleId="Heading2Char">
    <w:name w:val="Heading 2 Char"/>
    <w:basedOn w:val="DefaultParagraphFont"/>
    <w:link w:val="Heading2"/>
    <w:uiPriority w:val="9"/>
    <w:rsid w:val="00FF0137"/>
    <w:rPr>
      <w:rFonts w:eastAsiaTheme="majorEastAsia" w:cstheme="majorBidi"/>
      <w:b/>
      <w:color w:val="522A6B"/>
      <w:sz w:val="24"/>
      <w:szCs w:val="26"/>
    </w:rPr>
  </w:style>
  <w:style w:type="character" w:customStyle="1" w:styleId="Heading3Char">
    <w:name w:val="Heading 3 Char"/>
    <w:basedOn w:val="DefaultParagraphFont"/>
    <w:link w:val="Heading3"/>
    <w:uiPriority w:val="9"/>
    <w:rsid w:val="00FF0137"/>
    <w:rPr>
      <w:rFonts w:eastAsiaTheme="majorEastAsia" w:cstheme="majorBidi"/>
      <w:b/>
      <w:color w:val="522A6B"/>
      <w:szCs w:val="24"/>
    </w:rPr>
  </w:style>
  <w:style w:type="paragraph" w:styleId="Footer">
    <w:name w:val="footer"/>
    <w:basedOn w:val="Normal"/>
    <w:link w:val="FooterChar"/>
    <w:uiPriority w:val="99"/>
    <w:unhideWhenUsed/>
    <w:rsid w:val="002D0477"/>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2D0477"/>
    <w:rPr>
      <w:rFonts w:eastAsiaTheme="minorEastAs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0137"/>
    <w:pPr>
      <w:keepNext/>
      <w:keepLines/>
      <w:spacing w:before="240" w:after="0"/>
      <w:outlineLvl w:val="0"/>
    </w:pPr>
    <w:rPr>
      <w:rFonts w:eastAsiaTheme="majorEastAsia" w:cstheme="majorBidi"/>
      <w:b/>
      <w:color w:val="522A6B"/>
      <w:sz w:val="48"/>
      <w:szCs w:val="32"/>
    </w:rPr>
  </w:style>
  <w:style w:type="paragraph" w:styleId="Heading2">
    <w:name w:val="heading 2"/>
    <w:basedOn w:val="Normal"/>
    <w:next w:val="Normal"/>
    <w:link w:val="Heading2Char"/>
    <w:uiPriority w:val="9"/>
    <w:unhideWhenUsed/>
    <w:qFormat/>
    <w:rsid w:val="00FF0137"/>
    <w:pPr>
      <w:keepNext/>
      <w:keepLines/>
      <w:spacing w:before="40" w:after="0"/>
      <w:outlineLvl w:val="1"/>
    </w:pPr>
    <w:rPr>
      <w:rFonts w:eastAsiaTheme="majorEastAsia" w:cstheme="majorBidi"/>
      <w:b/>
      <w:color w:val="522A6B"/>
      <w:sz w:val="24"/>
      <w:szCs w:val="26"/>
    </w:rPr>
  </w:style>
  <w:style w:type="paragraph" w:styleId="Heading3">
    <w:name w:val="heading 3"/>
    <w:basedOn w:val="Normal"/>
    <w:next w:val="Normal"/>
    <w:link w:val="Heading3Char"/>
    <w:uiPriority w:val="9"/>
    <w:unhideWhenUsed/>
    <w:qFormat/>
    <w:rsid w:val="00FF0137"/>
    <w:pPr>
      <w:keepNext/>
      <w:keepLines/>
      <w:spacing w:before="40" w:after="0"/>
      <w:outlineLvl w:val="2"/>
    </w:pPr>
    <w:rPr>
      <w:rFonts w:eastAsiaTheme="majorEastAsia" w:cstheme="majorBidi"/>
      <w:b/>
      <w:color w:val="522A6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77D82"/>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77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82"/>
  </w:style>
  <w:style w:type="character" w:styleId="CommentReference">
    <w:name w:val="annotation reference"/>
    <w:basedOn w:val="DefaultParagraphFont"/>
    <w:uiPriority w:val="99"/>
    <w:semiHidden/>
    <w:unhideWhenUsed/>
    <w:rsid w:val="00A038D2"/>
    <w:rPr>
      <w:sz w:val="16"/>
      <w:szCs w:val="16"/>
    </w:rPr>
  </w:style>
  <w:style w:type="paragraph" w:styleId="CommentText">
    <w:name w:val="annotation text"/>
    <w:basedOn w:val="Normal"/>
    <w:link w:val="CommentTextChar"/>
    <w:uiPriority w:val="99"/>
    <w:semiHidden/>
    <w:unhideWhenUsed/>
    <w:rsid w:val="00A038D2"/>
    <w:pPr>
      <w:spacing w:line="240" w:lineRule="auto"/>
    </w:pPr>
    <w:rPr>
      <w:sz w:val="20"/>
      <w:szCs w:val="20"/>
    </w:rPr>
  </w:style>
  <w:style w:type="character" w:customStyle="1" w:styleId="CommentTextChar">
    <w:name w:val="Comment Text Char"/>
    <w:basedOn w:val="DefaultParagraphFont"/>
    <w:link w:val="CommentText"/>
    <w:uiPriority w:val="99"/>
    <w:semiHidden/>
    <w:rsid w:val="00A038D2"/>
    <w:rPr>
      <w:sz w:val="20"/>
      <w:szCs w:val="20"/>
    </w:rPr>
  </w:style>
  <w:style w:type="paragraph" w:styleId="CommentSubject">
    <w:name w:val="annotation subject"/>
    <w:basedOn w:val="CommentText"/>
    <w:next w:val="CommentText"/>
    <w:link w:val="CommentSubjectChar"/>
    <w:uiPriority w:val="99"/>
    <w:semiHidden/>
    <w:unhideWhenUsed/>
    <w:rsid w:val="00A038D2"/>
    <w:rPr>
      <w:b/>
      <w:bCs/>
    </w:rPr>
  </w:style>
  <w:style w:type="character" w:customStyle="1" w:styleId="CommentSubjectChar">
    <w:name w:val="Comment Subject Char"/>
    <w:basedOn w:val="CommentTextChar"/>
    <w:link w:val="CommentSubject"/>
    <w:uiPriority w:val="99"/>
    <w:semiHidden/>
    <w:rsid w:val="00A038D2"/>
    <w:rPr>
      <w:b/>
      <w:bCs/>
      <w:sz w:val="20"/>
      <w:szCs w:val="20"/>
    </w:rPr>
  </w:style>
  <w:style w:type="paragraph" w:styleId="BalloonText">
    <w:name w:val="Balloon Text"/>
    <w:basedOn w:val="Normal"/>
    <w:link w:val="BalloonTextChar"/>
    <w:uiPriority w:val="99"/>
    <w:semiHidden/>
    <w:unhideWhenUsed/>
    <w:rsid w:val="00A03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D2"/>
    <w:rPr>
      <w:rFonts w:ascii="Tahoma" w:hAnsi="Tahoma" w:cs="Tahoma"/>
      <w:sz w:val="16"/>
      <w:szCs w:val="16"/>
    </w:rPr>
  </w:style>
  <w:style w:type="paragraph" w:styleId="ListParagraph">
    <w:name w:val="List Paragraph"/>
    <w:basedOn w:val="Normal"/>
    <w:uiPriority w:val="34"/>
    <w:qFormat/>
    <w:rsid w:val="00BE11F1"/>
    <w:pPr>
      <w:ind w:left="720"/>
      <w:contextualSpacing/>
    </w:pPr>
  </w:style>
  <w:style w:type="paragraph" w:styleId="FootnoteText">
    <w:name w:val="footnote text"/>
    <w:basedOn w:val="Normal"/>
    <w:link w:val="FootnoteTextChar"/>
    <w:uiPriority w:val="99"/>
    <w:semiHidden/>
    <w:unhideWhenUsed/>
    <w:rsid w:val="00BE11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1F1"/>
    <w:rPr>
      <w:sz w:val="20"/>
      <w:szCs w:val="20"/>
    </w:rPr>
  </w:style>
  <w:style w:type="character" w:styleId="FootnoteReference">
    <w:name w:val="footnote reference"/>
    <w:basedOn w:val="DefaultParagraphFont"/>
    <w:uiPriority w:val="99"/>
    <w:semiHidden/>
    <w:unhideWhenUsed/>
    <w:rsid w:val="00BE11F1"/>
    <w:rPr>
      <w:vertAlign w:val="superscript"/>
    </w:rPr>
  </w:style>
  <w:style w:type="character" w:styleId="Hyperlink">
    <w:name w:val="Hyperlink"/>
    <w:basedOn w:val="DefaultParagraphFont"/>
    <w:uiPriority w:val="99"/>
    <w:unhideWhenUsed/>
    <w:rsid w:val="00835C3F"/>
    <w:rPr>
      <w:color w:val="0563C1" w:themeColor="hyperlink"/>
      <w:u w:val="single"/>
    </w:rPr>
  </w:style>
  <w:style w:type="character" w:styleId="FollowedHyperlink">
    <w:name w:val="FollowedHyperlink"/>
    <w:basedOn w:val="DefaultParagraphFont"/>
    <w:uiPriority w:val="99"/>
    <w:semiHidden/>
    <w:unhideWhenUsed/>
    <w:rsid w:val="000B08B9"/>
    <w:rPr>
      <w:color w:val="954F72" w:themeColor="followedHyperlink"/>
      <w:u w:val="single"/>
    </w:rPr>
  </w:style>
  <w:style w:type="table" w:customStyle="1" w:styleId="TableGrid1">
    <w:name w:val="TableGrid1"/>
    <w:rsid w:val="00740C7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2A5177"/>
    <w:rPr>
      <w:color w:val="808080"/>
      <w:shd w:val="clear" w:color="auto" w:fill="E6E6E6"/>
    </w:rPr>
  </w:style>
  <w:style w:type="character" w:customStyle="1" w:styleId="Heading1Char">
    <w:name w:val="Heading 1 Char"/>
    <w:basedOn w:val="DefaultParagraphFont"/>
    <w:link w:val="Heading1"/>
    <w:uiPriority w:val="9"/>
    <w:rsid w:val="00FF0137"/>
    <w:rPr>
      <w:rFonts w:eastAsiaTheme="majorEastAsia" w:cstheme="majorBidi"/>
      <w:b/>
      <w:color w:val="522A6B"/>
      <w:sz w:val="48"/>
      <w:szCs w:val="32"/>
    </w:rPr>
  </w:style>
  <w:style w:type="character" w:customStyle="1" w:styleId="Heading2Char">
    <w:name w:val="Heading 2 Char"/>
    <w:basedOn w:val="DefaultParagraphFont"/>
    <w:link w:val="Heading2"/>
    <w:uiPriority w:val="9"/>
    <w:rsid w:val="00FF0137"/>
    <w:rPr>
      <w:rFonts w:eastAsiaTheme="majorEastAsia" w:cstheme="majorBidi"/>
      <w:b/>
      <w:color w:val="522A6B"/>
      <w:sz w:val="24"/>
      <w:szCs w:val="26"/>
    </w:rPr>
  </w:style>
  <w:style w:type="character" w:customStyle="1" w:styleId="Heading3Char">
    <w:name w:val="Heading 3 Char"/>
    <w:basedOn w:val="DefaultParagraphFont"/>
    <w:link w:val="Heading3"/>
    <w:uiPriority w:val="9"/>
    <w:rsid w:val="00FF0137"/>
    <w:rPr>
      <w:rFonts w:eastAsiaTheme="majorEastAsia" w:cstheme="majorBidi"/>
      <w:b/>
      <w:color w:val="522A6B"/>
      <w:szCs w:val="24"/>
    </w:rPr>
  </w:style>
  <w:style w:type="paragraph" w:styleId="Footer">
    <w:name w:val="footer"/>
    <w:basedOn w:val="Normal"/>
    <w:link w:val="FooterChar"/>
    <w:uiPriority w:val="99"/>
    <w:unhideWhenUsed/>
    <w:rsid w:val="002D0477"/>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2D0477"/>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tlegal.bwbllp.com/products/notice-of-annual-general-meeting" TargetMode="External"/><Relationship Id="rId18" Type="http://schemas.openxmlformats.org/officeDocument/2006/relationships/hyperlink" Target="https://knowhownonprofit.org/tools-resources/board-basics/model-documents-and-templates/declaration-of-interests-form" TargetMode="External"/><Relationship Id="rId26" Type="http://schemas.openxmlformats.org/officeDocument/2006/relationships/hyperlink" Target="https://www.gov.uk/file-an-annual-return-with-companies-house" TargetMode="External"/><Relationship Id="rId39" Type="http://schemas.openxmlformats.org/officeDocument/2006/relationships/hyperlink" Target="https://getlegal.bwbllp.com/products/healthandsafety-policy" TargetMode="External"/><Relationship Id="rId21" Type="http://schemas.openxmlformats.org/officeDocument/2006/relationships/hyperlink" Target="https://knowhownonprofit.org/tools-resources/board-basics/model-documents-and-templates/organisational-management-calendar-template" TargetMode="External"/><Relationship Id="rId34" Type="http://schemas.openxmlformats.org/officeDocument/2006/relationships/hyperlink" Target="https://www.gov.uk/charities-and-tax" TargetMode="External"/><Relationship Id="rId42" Type="http://schemas.openxmlformats.org/officeDocument/2006/relationships/hyperlink" Target="https://knowhownonprofit.org/organisation/operations/safeguarding" TargetMode="External"/><Relationship Id="rId47" Type="http://schemas.openxmlformats.org/officeDocument/2006/relationships/hyperlink" Target="https://knowhownonprofit.org/how-to/how-to-make-sure-you-include-the-right-information-about-your-charity-on-official-documents" TargetMode="External"/><Relationship Id="rId50" Type="http://schemas.openxmlformats.org/officeDocument/2006/relationships/hyperlink" Target="https://www.charitycomms.org.uk/reports-and-guides" TargetMode="External"/><Relationship Id="rId55" Type="http://schemas.openxmlformats.org/officeDocument/2006/relationships/hyperlink" Target="https://getlegal.bwbllp.com/products?filters%5B28662%5D=&amp;filters%5B28665%5D=32474" TargetMode="External"/><Relationship Id="rId63" Type="http://schemas.openxmlformats.org/officeDocument/2006/relationships/hyperlink" Target="https://www.gov.uk/vat-registration" TargetMode="External"/><Relationship Id="rId68" Type="http://schemas.openxmlformats.org/officeDocument/2006/relationships/hyperlink" Target="http://www.ethicalproperty.org.uk/" TargetMode="Externa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knowhownonprofit.org/governance/board-responsibilities" TargetMode="External"/><Relationship Id="rId29" Type="http://schemas.openxmlformats.org/officeDocument/2006/relationships/hyperlink" Target="http://www.charitysorp.org/" TargetMode="External"/><Relationship Id="rId11" Type="http://schemas.openxmlformats.org/officeDocument/2006/relationships/hyperlink" Target="https://www.gov.uk/government/collections/companies-house-guidance-for-limited-companies-partnerships-and-other-company-types" TargetMode="External"/><Relationship Id="rId24" Type="http://schemas.openxmlformats.org/officeDocument/2006/relationships/hyperlink" Target="https://www.oscr.org.uk/becoming-a-charity/online-services" TargetMode="External"/><Relationship Id="rId32" Type="http://schemas.openxmlformats.org/officeDocument/2006/relationships/hyperlink" Target="https://www.electoralcommission.org.uk/__data/assets/pdf_file/0017/193040/Introduction-to-non-party-campaigning-for-charities-May-2016.pdf" TargetMode="External"/><Relationship Id="rId37" Type="http://schemas.openxmlformats.org/officeDocument/2006/relationships/hyperlink" Target="https://www.gov.uk/guidance/public-benefit-rules-for-charities" TargetMode="External"/><Relationship Id="rId40" Type="http://schemas.openxmlformats.org/officeDocument/2006/relationships/hyperlink" Target="https://knowhownonprofit.org/people/hr/health-and-safety" TargetMode="External"/><Relationship Id="rId45" Type="http://schemas.openxmlformats.org/officeDocument/2006/relationships/hyperlink" Target="https://www.equalityhumanrights.com/en/equality-act" TargetMode="External"/><Relationship Id="rId53" Type="http://schemas.openxmlformats.org/officeDocument/2006/relationships/hyperlink" Target="https://www.gov.uk/browse/business/intellectual-property" TargetMode="External"/><Relationship Id="rId58" Type="http://schemas.openxmlformats.org/officeDocument/2006/relationships/hyperlink" Target="https://www.gov.uk/register-employer" TargetMode="External"/><Relationship Id="rId66" Type="http://schemas.openxmlformats.org/officeDocument/2006/relationships/hyperlink" Target="https://getlegal.bwbllp.com/products/charities-wishing-to-dispose-of-property"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the-essential-trustee-what-you-need-to-know-cc3" TargetMode="External"/><Relationship Id="rId23" Type="http://schemas.openxmlformats.org/officeDocument/2006/relationships/hyperlink" Target="https://www.gov.uk/change-your-charitys-details" TargetMode="External"/><Relationship Id="rId28" Type="http://schemas.openxmlformats.org/officeDocument/2006/relationships/hyperlink" Target="https://knowhownonprofit.org/tools-resources/board-basics/model-documents-and-templates/organisational-management-calendar-template" TargetMode="External"/><Relationship Id="rId36" Type="http://schemas.openxmlformats.org/officeDocument/2006/relationships/hyperlink" Target="https://www.institute-of-fundraising.org.uk/guidance/fundraising-essentials-legislation/" TargetMode="External"/><Relationship Id="rId49" Type="http://schemas.openxmlformats.org/officeDocument/2006/relationships/hyperlink" Target="https://www.resourcecentre.org.uk/information/photo-consent-for-community-groups/" TargetMode="External"/><Relationship Id="rId57" Type="http://schemas.openxmlformats.org/officeDocument/2006/relationships/hyperlink" Target="https://knowhownonprofit.org/people/hr" TargetMode="External"/><Relationship Id="rId61" Type="http://schemas.openxmlformats.org/officeDocument/2006/relationships/hyperlink" Target="https://www.gov.uk/national-insurance-rates-letters" TargetMode="External"/><Relationship Id="rId10" Type="http://schemas.openxmlformats.org/officeDocument/2006/relationships/hyperlink" Target="https://www.gov.uk/file-changes-to-a-company-with-companies-house" TargetMode="External"/><Relationship Id="rId19" Type="http://schemas.openxmlformats.org/officeDocument/2006/relationships/hyperlink" Target="https://knowhownonprofit.org/governance/governance-structure-and-roles/delegation-to-committees-and-staff" TargetMode="External"/><Relationship Id="rId31" Type="http://schemas.openxmlformats.org/officeDocument/2006/relationships/hyperlink" Target="https://getlegal.bwbllp.com/" TargetMode="External"/><Relationship Id="rId44" Type="http://schemas.openxmlformats.org/officeDocument/2006/relationships/hyperlink" Target="https://knowhownonprofit.org/organisation/operations/dataprotection" TargetMode="External"/><Relationship Id="rId52" Type="http://schemas.openxmlformats.org/officeDocument/2006/relationships/hyperlink" Target="https://www.asa.org.uk/codes-and-rulings/advertising-codes.html" TargetMode="External"/><Relationship Id="rId60" Type="http://schemas.openxmlformats.org/officeDocument/2006/relationships/hyperlink" Target="https://www.gov.uk/paye-for-employers" TargetMode="External"/><Relationship Id="rId65" Type="http://schemas.openxmlformats.org/officeDocument/2006/relationships/hyperlink" Target="https://www.gov.uk/government/publications/charities-and-investment-matters-a-guide-for-trustees-cc14"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change-your-charitys-details" TargetMode="External"/><Relationship Id="rId14" Type="http://schemas.openxmlformats.org/officeDocument/2006/relationships/hyperlink" Target="https://www.gov.uk/government/publications/charities-and-meetings-cc48/charities-and-meetings" TargetMode="External"/><Relationship Id="rId22" Type="http://schemas.openxmlformats.org/officeDocument/2006/relationships/hyperlink" Target="https://www.gov.uk/guidance/prepare-a-charity-annual-return" TargetMode="External"/><Relationship Id="rId27" Type="http://schemas.openxmlformats.org/officeDocument/2006/relationships/hyperlink" Target="https://www.gov.uk/file-changes-to-a-company-with-companies-house" TargetMode="External"/><Relationship Id="rId30" Type="http://schemas.openxmlformats.org/officeDocument/2006/relationships/hyperlink" Target="https://www.icaew.com/en/technical/charity-and-voluntary/audit-and-other-services/choice-between-audit-and-independent-examination" TargetMode="External"/><Relationship Id="rId35" Type="http://schemas.openxmlformats.org/officeDocument/2006/relationships/hyperlink" Target="https://www.charitytaxgroup.org.uk/" TargetMode="External"/><Relationship Id="rId43" Type="http://schemas.openxmlformats.org/officeDocument/2006/relationships/hyperlink" Target="https://ico.org.uk/for-organisations/charity/" TargetMode="External"/><Relationship Id="rId48" Type="http://schemas.openxmlformats.org/officeDocument/2006/relationships/hyperlink" Target="https://www.gov.uk/using-somebody-elses-intellectual-property" TargetMode="External"/><Relationship Id="rId56" Type="http://schemas.openxmlformats.org/officeDocument/2006/relationships/hyperlink" Target="https://www.ncvo.org.uk/practical-support/information/hr" TargetMode="External"/><Relationship Id="rId64" Type="http://schemas.openxmlformats.org/officeDocument/2006/relationships/hyperlink" Target="https://www.ncvo.org.uk/practical-support/trusted-suppliers/supplier-list/295-saffery-champness"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charitycomms.org.uk/reports-and-guides%23A%20Beginner%E2%80%99s%20Guide%20to%20Media%20Licensing%20in%20the%20Charity%20Sector"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getlegal.bwbllp.com/products/checklist-for-general-meeting" TargetMode="External"/><Relationship Id="rId17" Type="http://schemas.openxmlformats.org/officeDocument/2006/relationships/hyperlink" Target="https://www.gov.uk/guidance/manage-a-conflict-of-interest-in-your-charity" TargetMode="External"/><Relationship Id="rId25" Type="http://schemas.openxmlformats.org/officeDocument/2006/relationships/hyperlink" Target="https://www.charitycommissionni.org.uk/manage-your-charity/update-your-charitys-details/" TargetMode="External"/><Relationship Id="rId33" Type="http://schemas.openxmlformats.org/officeDocument/2006/relationships/hyperlink" Target="https://www.gov.uk/government/publications/charities-and-fundraising-cc20" TargetMode="External"/><Relationship Id="rId38" Type="http://schemas.openxmlformats.org/officeDocument/2006/relationships/hyperlink" Target="https://knowhownonprofit.org/people/hr/health-and-safety" TargetMode="External"/><Relationship Id="rId46" Type="http://schemas.openxmlformats.org/officeDocument/2006/relationships/hyperlink" Target="https://knowhownonprofit.org/organisation/operations/insurance" TargetMode="External"/><Relationship Id="rId59" Type="http://schemas.openxmlformats.org/officeDocument/2006/relationships/hyperlink" Target="https://www.gov.uk/employing-staff" TargetMode="External"/><Relationship Id="rId67" Type="http://schemas.openxmlformats.org/officeDocument/2006/relationships/hyperlink" Target="https://www.ncvo.org.uk/practical-support/trusted-suppliers/supplier-list/294-charity-property-help" TargetMode="External"/><Relationship Id="rId20" Type="http://schemas.openxmlformats.org/officeDocument/2006/relationships/hyperlink" Target="https://knowhownonprofit.org/organisation/operations/financial-management/procedures" TargetMode="External"/><Relationship Id="rId41" Type="http://schemas.openxmlformats.org/officeDocument/2006/relationships/hyperlink" Target="https://www.gov.uk/guidance/how-to-report-a-serious-incident-in-your-charity" TargetMode="External"/><Relationship Id="rId54" Type="http://schemas.openxmlformats.org/officeDocument/2006/relationships/hyperlink" Target="https://getlegal.bwbllp.com/products/staff-handbook" TargetMode="External"/><Relationship Id="rId62" Type="http://schemas.openxmlformats.org/officeDocument/2006/relationships/hyperlink" Target="https://www.ncvo.org.uk/practical-support/trusted-suppliers/supplier-list/301-fmp-payroll-services" TargetMode="External"/><Relationship Id="rId70" Type="http://schemas.openxmlformats.org/officeDocument/2006/relationships/footer" Target="footer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https://knowhownonprofit.org/tool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60E3-BFB5-4717-9285-E5458DAA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Myles.Kunzli</dc:creator>
  <cp:lastModifiedBy>Louise Beddoe</cp:lastModifiedBy>
  <cp:revision>2</cp:revision>
  <cp:lastPrinted>2018-01-31T09:47:00Z</cp:lastPrinted>
  <dcterms:created xsi:type="dcterms:W3CDTF">2019-06-14T10:54:00Z</dcterms:created>
  <dcterms:modified xsi:type="dcterms:W3CDTF">2019-06-14T10:54:00Z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05477790-6a7b-4daf-b252-5b4424811dd3</vt:lpwstr>
  </property>
</Properties>
</file>